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06E" w:rsidRPr="00A1006E" w:rsidRDefault="00A1006E" w:rsidP="00A1006E">
      <w:pPr>
        <w:pStyle w:val="Kopfzeile"/>
        <w:jc w:val="center"/>
        <w:rPr>
          <w:b/>
          <w:bCs/>
          <w:color w:val="002060"/>
          <w:sz w:val="28"/>
          <w:szCs w:val="28"/>
        </w:rPr>
      </w:pPr>
      <w:proofErr w:type="spellStart"/>
      <w:r w:rsidRPr="00A1006E">
        <w:rPr>
          <w:b/>
          <w:bCs/>
          <w:color w:val="002060"/>
          <w:sz w:val="28"/>
          <w:szCs w:val="28"/>
        </w:rPr>
        <w:t>Fatḥ</w:t>
      </w:r>
      <w:proofErr w:type="spellEnd"/>
      <w:r w:rsidRPr="00A1006E">
        <w:rPr>
          <w:b/>
          <w:bCs/>
          <w:color w:val="002060"/>
          <w:sz w:val="28"/>
          <w:szCs w:val="28"/>
        </w:rPr>
        <w:t xml:space="preserve"> al-</w:t>
      </w:r>
      <w:proofErr w:type="spellStart"/>
      <w:r w:rsidRPr="00A1006E">
        <w:rPr>
          <w:b/>
          <w:bCs/>
          <w:color w:val="002060"/>
          <w:sz w:val="28"/>
          <w:szCs w:val="28"/>
        </w:rPr>
        <w:t>Muʿīn</w:t>
      </w:r>
      <w:proofErr w:type="spellEnd"/>
      <w:r w:rsidRPr="00A1006E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A1006E">
        <w:rPr>
          <w:b/>
          <w:bCs/>
          <w:color w:val="002060"/>
          <w:sz w:val="28"/>
          <w:szCs w:val="28"/>
        </w:rPr>
        <w:t>Fī</w:t>
      </w:r>
      <w:proofErr w:type="spellEnd"/>
      <w:r w:rsidRPr="00A1006E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A1006E">
        <w:rPr>
          <w:b/>
          <w:bCs/>
          <w:color w:val="002060"/>
          <w:sz w:val="28"/>
          <w:szCs w:val="28"/>
        </w:rPr>
        <w:t>Taqrīb</w:t>
      </w:r>
      <w:proofErr w:type="spellEnd"/>
      <w:r w:rsidRPr="00A1006E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A1006E">
        <w:rPr>
          <w:b/>
          <w:bCs/>
          <w:color w:val="002060"/>
          <w:sz w:val="28"/>
          <w:szCs w:val="28"/>
        </w:rPr>
        <w:t>Manhaj</w:t>
      </w:r>
      <w:proofErr w:type="spellEnd"/>
      <w:r w:rsidRPr="00A1006E">
        <w:rPr>
          <w:b/>
          <w:bCs/>
          <w:color w:val="002060"/>
          <w:sz w:val="28"/>
          <w:szCs w:val="28"/>
        </w:rPr>
        <w:t xml:space="preserve"> al-</w:t>
      </w:r>
      <w:proofErr w:type="spellStart"/>
      <w:r w:rsidRPr="00A1006E">
        <w:rPr>
          <w:b/>
          <w:bCs/>
          <w:color w:val="002060"/>
          <w:sz w:val="28"/>
          <w:szCs w:val="28"/>
        </w:rPr>
        <w:t>Sālikīn</w:t>
      </w:r>
      <w:proofErr w:type="spellEnd"/>
      <w:r w:rsidRPr="00A1006E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A1006E">
        <w:rPr>
          <w:b/>
          <w:bCs/>
          <w:color w:val="002060"/>
          <w:sz w:val="28"/>
          <w:szCs w:val="28"/>
        </w:rPr>
        <w:t>Wa</w:t>
      </w:r>
      <w:proofErr w:type="spellEnd"/>
      <w:r w:rsidRPr="00A1006E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A1006E">
        <w:rPr>
          <w:b/>
          <w:bCs/>
          <w:color w:val="002060"/>
          <w:sz w:val="28"/>
          <w:szCs w:val="28"/>
        </w:rPr>
        <w:t>Tawḍīḥ</w:t>
      </w:r>
      <w:proofErr w:type="spellEnd"/>
      <w:r w:rsidRPr="00A1006E">
        <w:rPr>
          <w:b/>
          <w:bCs/>
          <w:color w:val="002060"/>
          <w:sz w:val="28"/>
          <w:szCs w:val="28"/>
        </w:rPr>
        <w:t xml:space="preserve"> al-Fiqh </w:t>
      </w:r>
      <w:proofErr w:type="spellStart"/>
      <w:r w:rsidRPr="00A1006E">
        <w:rPr>
          <w:b/>
          <w:bCs/>
          <w:color w:val="002060"/>
          <w:sz w:val="28"/>
          <w:szCs w:val="28"/>
        </w:rPr>
        <w:t>Fī</w:t>
      </w:r>
      <w:proofErr w:type="spellEnd"/>
      <w:r w:rsidRPr="00A1006E">
        <w:rPr>
          <w:b/>
          <w:bCs/>
          <w:color w:val="002060"/>
          <w:sz w:val="28"/>
          <w:szCs w:val="28"/>
        </w:rPr>
        <w:t xml:space="preserve"> al-</w:t>
      </w:r>
      <w:proofErr w:type="spellStart"/>
      <w:r w:rsidRPr="00A1006E">
        <w:rPr>
          <w:b/>
          <w:bCs/>
          <w:color w:val="002060"/>
          <w:sz w:val="28"/>
          <w:szCs w:val="28"/>
        </w:rPr>
        <w:t>Dīn</w:t>
      </w:r>
      <w:proofErr w:type="spellEnd"/>
      <w:r w:rsidRPr="00A1006E">
        <w:rPr>
          <w:b/>
          <w:bCs/>
          <w:color w:val="002060"/>
          <w:sz w:val="28"/>
          <w:szCs w:val="28"/>
        </w:rPr>
        <w:t>,</w:t>
      </w:r>
    </w:p>
    <w:p w:rsidR="00A1006E" w:rsidRPr="00A1006E" w:rsidRDefault="00A1006E" w:rsidP="00A1006E">
      <w:pPr>
        <w:pStyle w:val="Kopfzeile"/>
        <w:jc w:val="center"/>
        <w:rPr>
          <w:b/>
          <w:bCs/>
          <w:color w:val="002060"/>
          <w:sz w:val="28"/>
          <w:szCs w:val="28"/>
        </w:rPr>
      </w:pPr>
      <w:r w:rsidRPr="00A1006E">
        <w:rPr>
          <w:b/>
          <w:bCs/>
          <w:color w:val="002060"/>
          <w:sz w:val="28"/>
          <w:szCs w:val="28"/>
        </w:rPr>
        <w:t>Von Sheikh Haytham Bin Muḥammad Sarḥān (</w:t>
      </w:r>
      <w:proofErr w:type="spellStart"/>
      <w:r w:rsidRPr="00A1006E">
        <w:rPr>
          <w:b/>
          <w:bCs/>
          <w:color w:val="002060"/>
          <w:sz w:val="28"/>
          <w:szCs w:val="28"/>
        </w:rPr>
        <w:t>ḥafidhahullah</w:t>
      </w:r>
      <w:proofErr w:type="spellEnd"/>
      <w:r w:rsidRPr="00A1006E">
        <w:rPr>
          <w:b/>
          <w:bCs/>
          <w:color w:val="002060"/>
          <w:sz w:val="28"/>
          <w:szCs w:val="28"/>
        </w:rPr>
        <w:t>)</w:t>
      </w:r>
    </w:p>
    <w:p w:rsidR="00A1006E" w:rsidRDefault="00A1006E" w:rsidP="00A1006E">
      <w:pPr>
        <w:pStyle w:val="Kopfzeile"/>
        <w:jc w:val="center"/>
        <w:rPr>
          <w:rFonts w:cs="Calibri"/>
          <w:color w:val="002060"/>
          <w:sz w:val="28"/>
          <w:szCs w:val="28"/>
        </w:rPr>
      </w:pPr>
      <w:r w:rsidRPr="00747896">
        <w:rPr>
          <w:color w:val="002060"/>
          <w:sz w:val="28"/>
          <w:szCs w:val="28"/>
        </w:rPr>
        <w:t>(</w:t>
      </w:r>
      <w:r w:rsidRPr="00F80466">
        <w:rPr>
          <w:color w:val="002060"/>
          <w:sz w:val="28"/>
          <w:szCs w:val="28"/>
        </w:rPr>
        <w:t xml:space="preserve">Ein </w:t>
      </w:r>
      <w:proofErr w:type="spellStart"/>
      <w:r w:rsidRPr="00F80466">
        <w:rPr>
          <w:color w:val="002060"/>
          <w:sz w:val="28"/>
          <w:szCs w:val="28"/>
        </w:rPr>
        <w:t>früherer</w:t>
      </w:r>
      <w:proofErr w:type="spellEnd"/>
      <w:r w:rsidRPr="00F80466">
        <w:rPr>
          <w:color w:val="002060"/>
          <w:sz w:val="28"/>
          <w:szCs w:val="28"/>
        </w:rPr>
        <w:t xml:space="preserve"> Lehrer in der </w:t>
      </w:r>
      <w:proofErr w:type="spellStart"/>
      <w:r w:rsidRPr="00F80466">
        <w:rPr>
          <w:color w:val="002060"/>
          <w:sz w:val="28"/>
          <w:szCs w:val="28"/>
        </w:rPr>
        <w:t>Prophetenmoschee</w:t>
      </w:r>
      <w:proofErr w:type="spellEnd"/>
      <w:r w:rsidRPr="00F80466">
        <w:rPr>
          <w:rFonts w:hint="cs"/>
          <w:color w:val="002060"/>
          <w:sz w:val="28"/>
          <w:szCs w:val="28"/>
          <w:rtl/>
        </w:rPr>
        <w:t xml:space="preserve"> </w:t>
      </w:r>
      <w:r w:rsidRPr="00747896">
        <w:rPr>
          <w:rFonts w:cs="Calibri" w:hint="cs"/>
          <w:color w:val="002060"/>
          <w:sz w:val="28"/>
          <w:szCs w:val="28"/>
          <w:rtl/>
        </w:rPr>
        <w:t>ﷺ</w:t>
      </w:r>
      <w:r w:rsidRPr="00747896">
        <w:rPr>
          <w:rFonts w:cs="Calibri"/>
          <w:color w:val="002060"/>
          <w:sz w:val="28"/>
          <w:szCs w:val="28"/>
        </w:rPr>
        <w:t>)</w:t>
      </w:r>
    </w:p>
    <w:p w:rsidR="00216E97" w:rsidRPr="00A1006E" w:rsidRDefault="00A1006E">
      <w:pPr>
        <w:pStyle w:val="berschrift1"/>
        <w:rPr>
          <w:lang w:val="de-DE"/>
        </w:rPr>
      </w:pPr>
      <w:r>
        <w:rPr>
          <w:lang w:val="de-DE"/>
        </w:rPr>
        <w:t>R</w:t>
      </w:r>
      <w:r w:rsidRPr="00A1006E">
        <w:rPr>
          <w:lang w:val="de-DE"/>
        </w:rPr>
        <w:t>egeln über</w:t>
      </w:r>
      <w:r w:rsidR="00000000" w:rsidRPr="00A1006E">
        <w:rPr>
          <w:lang w:val="de-DE"/>
        </w:rPr>
        <w:t xml:space="preserve"> </w:t>
      </w:r>
      <w:proofErr w:type="spellStart"/>
      <w:r w:rsidR="00000000" w:rsidRPr="00A1006E">
        <w:rPr>
          <w:lang w:val="de-DE"/>
        </w:rPr>
        <w:t>Zakāt</w:t>
      </w:r>
      <w:proofErr w:type="spellEnd"/>
      <w:r w:rsidR="00000000" w:rsidRPr="00A1006E">
        <w:rPr>
          <w:lang w:val="de-DE"/>
        </w:rPr>
        <w:t xml:space="preserve"> al-</w:t>
      </w:r>
      <w:proofErr w:type="spellStart"/>
      <w:r w:rsidR="00000000" w:rsidRPr="00A1006E">
        <w:rPr>
          <w:lang w:val="de-DE"/>
        </w:rPr>
        <w:t>Fiṭr</w:t>
      </w:r>
      <w:proofErr w:type="spellEnd"/>
    </w:p>
    <w:p w:rsidR="00216E97" w:rsidRDefault="00000000">
      <w:pPr>
        <w:pStyle w:val="berschrift2"/>
      </w:pPr>
      <w:proofErr w:type="spellStart"/>
      <w:r>
        <w:t>Verpflichtung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216E97">
        <w:tc>
          <w:tcPr>
            <w:tcW w:w="4320" w:type="dxa"/>
          </w:tcPr>
          <w:p w:rsidR="00216E97" w:rsidRDefault="00000000">
            <w:r>
              <w:t>Verpflichtend für:</w:t>
            </w:r>
          </w:p>
        </w:tc>
        <w:tc>
          <w:tcPr>
            <w:tcW w:w="4320" w:type="dxa"/>
          </w:tcPr>
          <w:p w:rsidR="00216E97" w:rsidRDefault="00000000">
            <w:r>
              <w:t>Empfohlen für:</w:t>
            </w:r>
          </w:p>
        </w:tc>
      </w:tr>
      <w:tr w:rsidR="00216E97">
        <w:tc>
          <w:tcPr>
            <w:tcW w:w="4320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 xml:space="preserve">Jeden Muslim beim Sonnenuntergang am letzten Tag </w:t>
            </w:r>
            <w:proofErr w:type="gramStart"/>
            <w:r w:rsidRPr="00A1006E">
              <w:rPr>
                <w:lang w:val="de-DE"/>
              </w:rPr>
              <w:t>des Ramadan</w:t>
            </w:r>
            <w:proofErr w:type="gramEnd"/>
            <w:r w:rsidRPr="00A1006E">
              <w:rPr>
                <w:lang w:val="de-DE"/>
              </w:rPr>
              <w:t xml:space="preserve"> – ob groß oder klein, männlich oder weiblich, frei oder Sklave.</w:t>
            </w:r>
            <w:r w:rsidRPr="00A1006E">
              <w:rPr>
                <w:lang w:val="de-DE"/>
              </w:rPr>
              <w:br/>
            </w:r>
            <w:r w:rsidRPr="00A1006E">
              <w:rPr>
                <w:lang w:val="de-DE"/>
              </w:rPr>
              <w:br/>
              <w:t>Sie wird entrichtet für sich selbst und für unterhaltspflichtige Personen (Ehefrau, Kinder usw.).</w:t>
            </w:r>
          </w:p>
        </w:tc>
        <w:tc>
          <w:tcPr>
            <w:tcW w:w="4320" w:type="dxa"/>
          </w:tcPr>
          <w:p w:rsidR="00216E97" w:rsidRDefault="00000000">
            <w:r>
              <w:t xml:space="preserve">Das </w:t>
            </w:r>
            <w:proofErr w:type="spellStart"/>
            <w:r>
              <w:t>ungeborene</w:t>
            </w:r>
            <w:proofErr w:type="spellEnd"/>
            <w:r>
              <w:t xml:space="preserve"> Kind (</w:t>
            </w:r>
            <w:proofErr w:type="spellStart"/>
            <w:r>
              <w:t>Fötus</w:t>
            </w:r>
            <w:proofErr w:type="spellEnd"/>
            <w:r>
              <w:t>).</w:t>
            </w:r>
          </w:p>
        </w:tc>
      </w:tr>
    </w:tbl>
    <w:p w:rsidR="00216E97" w:rsidRDefault="00000000">
      <w:pPr>
        <w:pStyle w:val="berschrift2"/>
      </w:pPr>
      <w:r>
        <w:t>Weisheit der Vorschrift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216E97">
        <w:tc>
          <w:tcPr>
            <w:tcW w:w="4320" w:type="dxa"/>
          </w:tcPr>
          <w:p w:rsidR="00216E97" w:rsidRDefault="00000000">
            <w:r>
              <w:t>Reinigung für den Fastenden</w:t>
            </w:r>
          </w:p>
        </w:tc>
        <w:tc>
          <w:tcPr>
            <w:tcW w:w="4320" w:type="dxa"/>
          </w:tcPr>
          <w:p w:rsidR="00216E97" w:rsidRDefault="00000000">
            <w:r>
              <w:t>Unterstützung der Bedürftigen</w:t>
            </w:r>
          </w:p>
        </w:tc>
      </w:tr>
      <w:tr w:rsidR="00216E97" w:rsidRPr="00A1006E">
        <w:tc>
          <w:tcPr>
            <w:tcW w:w="4320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>Reinigung von unanständiger und nutzloser Rede.</w:t>
            </w:r>
          </w:p>
        </w:tc>
        <w:tc>
          <w:tcPr>
            <w:tcW w:w="4320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>Versorgung der Armen, damit sie am Festtag nicht betteln müssen.</w:t>
            </w:r>
          </w:p>
        </w:tc>
      </w:tr>
    </w:tbl>
    <w:p w:rsidR="00216E97" w:rsidRDefault="00000000">
      <w:pPr>
        <w:pStyle w:val="berschrift2"/>
      </w:pPr>
      <w:proofErr w:type="spellStart"/>
      <w:r>
        <w:t>Zeitpunkt</w:t>
      </w:r>
      <w:proofErr w:type="spellEnd"/>
      <w:r>
        <w:t xml:space="preserve"> der </w:t>
      </w:r>
      <w:proofErr w:type="spellStart"/>
      <w:r>
        <w:t>Entrichtung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216E97">
        <w:tc>
          <w:tcPr>
            <w:tcW w:w="2880" w:type="dxa"/>
          </w:tcPr>
          <w:p w:rsidR="00216E97" w:rsidRDefault="00000000">
            <w:r>
              <w:t>Erlaubte Zeit</w:t>
            </w:r>
          </w:p>
        </w:tc>
        <w:tc>
          <w:tcPr>
            <w:tcW w:w="2880" w:type="dxa"/>
          </w:tcPr>
          <w:p w:rsidR="00216E97" w:rsidRDefault="00000000">
            <w:r>
              <w:t>Empfohlene Zeit</w:t>
            </w:r>
          </w:p>
        </w:tc>
        <w:tc>
          <w:tcPr>
            <w:tcW w:w="2880" w:type="dxa"/>
          </w:tcPr>
          <w:p w:rsidR="00216E97" w:rsidRDefault="00000000">
            <w:r>
              <w:t>Verbotene Zeit</w:t>
            </w:r>
          </w:p>
        </w:tc>
      </w:tr>
      <w:tr w:rsidR="00216E97">
        <w:tc>
          <w:tcPr>
            <w:tcW w:w="2880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>Einen oder zwei Tage vor dem Fest.</w:t>
            </w:r>
          </w:p>
        </w:tc>
        <w:tc>
          <w:tcPr>
            <w:tcW w:w="2880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>Nach dem Morgengebet (Fajr) und vor dem Festgebet.</w:t>
            </w:r>
          </w:p>
        </w:tc>
        <w:tc>
          <w:tcPr>
            <w:tcW w:w="2880" w:type="dxa"/>
          </w:tcPr>
          <w:p w:rsidR="00216E97" w:rsidRDefault="00000000">
            <w:r>
              <w:t xml:space="preserve">Nach dem </w:t>
            </w:r>
            <w:proofErr w:type="spellStart"/>
            <w:r>
              <w:t>Festgebet</w:t>
            </w:r>
            <w:proofErr w:type="spellEnd"/>
            <w:r>
              <w:t>.</w:t>
            </w:r>
          </w:p>
        </w:tc>
      </w:tr>
    </w:tbl>
    <w:p w:rsidR="00216E97" w:rsidRPr="00A1006E" w:rsidRDefault="00000000">
      <w:pPr>
        <w:pStyle w:val="berschrift2"/>
        <w:rPr>
          <w:lang w:val="de-DE"/>
        </w:rPr>
      </w:pPr>
      <w:r w:rsidRPr="00A1006E">
        <w:rPr>
          <w:lang w:val="de-DE"/>
        </w:rPr>
        <w:t xml:space="preserve">Was gültig ist für </w:t>
      </w:r>
      <w:proofErr w:type="spellStart"/>
      <w:r w:rsidRPr="00A1006E">
        <w:rPr>
          <w:lang w:val="de-DE"/>
        </w:rPr>
        <w:t>Zakāt</w:t>
      </w:r>
      <w:proofErr w:type="spellEnd"/>
      <w:r w:rsidRPr="00A1006E">
        <w:rPr>
          <w:lang w:val="de-DE"/>
        </w:rPr>
        <w:t xml:space="preserve"> al-</w:t>
      </w:r>
      <w:proofErr w:type="spellStart"/>
      <w:r w:rsidRPr="00A1006E">
        <w:rPr>
          <w:lang w:val="de-DE"/>
        </w:rPr>
        <w:t>Fiṭr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216E97">
        <w:tc>
          <w:tcPr>
            <w:tcW w:w="4320" w:type="dxa"/>
          </w:tcPr>
          <w:p w:rsidR="00216E97" w:rsidRDefault="00000000">
            <w:proofErr w:type="spellStart"/>
            <w:r>
              <w:t>Gültige</w:t>
            </w:r>
            <w:proofErr w:type="spellEnd"/>
            <w:r>
              <w:t xml:space="preserve"> Form</w:t>
            </w:r>
          </w:p>
        </w:tc>
        <w:tc>
          <w:tcPr>
            <w:tcW w:w="4320" w:type="dxa"/>
          </w:tcPr>
          <w:p w:rsidR="00216E97" w:rsidRDefault="00000000">
            <w:r>
              <w:t>Nicht ausreichend</w:t>
            </w:r>
          </w:p>
        </w:tc>
      </w:tr>
      <w:tr w:rsidR="00216E97" w:rsidRPr="00A1006E">
        <w:tc>
          <w:tcPr>
            <w:tcW w:w="4320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 xml:space="preserve">Ein </w:t>
            </w:r>
            <w:proofErr w:type="spellStart"/>
            <w:r w:rsidRPr="00A1006E">
              <w:rPr>
                <w:lang w:val="de-DE"/>
              </w:rPr>
              <w:t>Ṣāʿ</w:t>
            </w:r>
            <w:proofErr w:type="spellEnd"/>
            <w:r w:rsidRPr="00A1006E">
              <w:rPr>
                <w:lang w:val="de-DE"/>
              </w:rPr>
              <w:t xml:space="preserve"> an Grundnahrungsmitteln (ca. 2,5–3 kg, je nach Art).</w:t>
            </w:r>
          </w:p>
        </w:tc>
        <w:tc>
          <w:tcPr>
            <w:tcW w:w="4320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>Geld (nach der dargestellten Ansicht).</w:t>
            </w:r>
          </w:p>
        </w:tc>
      </w:tr>
    </w:tbl>
    <w:p w:rsidR="00216E97" w:rsidRDefault="00000000">
      <w:pPr>
        <w:pStyle w:val="berschrift2"/>
      </w:pPr>
      <w:proofErr w:type="spellStart"/>
      <w:r>
        <w:t>Ungefähre</w:t>
      </w:r>
      <w:proofErr w:type="spellEnd"/>
      <w:r>
        <w:t xml:space="preserve"> Mengen </w:t>
      </w:r>
      <w:proofErr w:type="spellStart"/>
      <w:r>
        <w:t>einiger</w:t>
      </w:r>
      <w:proofErr w:type="spellEnd"/>
      <w:r>
        <w:t xml:space="preserve"> </w:t>
      </w:r>
      <w:proofErr w:type="spellStart"/>
      <w:r>
        <w:t>Lebensmittel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216E97">
        <w:tc>
          <w:tcPr>
            <w:tcW w:w="4320" w:type="dxa"/>
          </w:tcPr>
          <w:p w:rsidR="00216E97" w:rsidRDefault="00000000">
            <w:r>
              <w:t>Lebensmittel</w:t>
            </w:r>
          </w:p>
        </w:tc>
        <w:tc>
          <w:tcPr>
            <w:tcW w:w="4320" w:type="dxa"/>
          </w:tcPr>
          <w:p w:rsidR="00216E97" w:rsidRDefault="00000000">
            <w:r>
              <w:t>Gewicht (ca.)</w:t>
            </w:r>
          </w:p>
        </w:tc>
      </w:tr>
      <w:tr w:rsidR="00216E97">
        <w:tc>
          <w:tcPr>
            <w:tcW w:w="4320" w:type="dxa"/>
          </w:tcPr>
          <w:p w:rsidR="00216E97" w:rsidRDefault="00000000">
            <w:r>
              <w:t>Mehl</w:t>
            </w:r>
          </w:p>
        </w:tc>
        <w:tc>
          <w:tcPr>
            <w:tcW w:w="4320" w:type="dxa"/>
          </w:tcPr>
          <w:p w:rsidR="00216E97" w:rsidRDefault="00000000">
            <w:r>
              <w:t>1.400 g</w:t>
            </w:r>
          </w:p>
        </w:tc>
      </w:tr>
      <w:tr w:rsidR="00216E97">
        <w:tc>
          <w:tcPr>
            <w:tcW w:w="4320" w:type="dxa"/>
          </w:tcPr>
          <w:p w:rsidR="00216E97" w:rsidRDefault="00000000">
            <w:r>
              <w:t>Weizen</w:t>
            </w:r>
          </w:p>
        </w:tc>
        <w:tc>
          <w:tcPr>
            <w:tcW w:w="4320" w:type="dxa"/>
          </w:tcPr>
          <w:p w:rsidR="00216E97" w:rsidRDefault="00000000">
            <w:r>
              <w:t>2.040 g</w:t>
            </w:r>
          </w:p>
        </w:tc>
      </w:tr>
      <w:tr w:rsidR="00216E97">
        <w:tc>
          <w:tcPr>
            <w:tcW w:w="4320" w:type="dxa"/>
          </w:tcPr>
          <w:p w:rsidR="00216E97" w:rsidRDefault="00000000">
            <w:r>
              <w:t>Reis</w:t>
            </w:r>
          </w:p>
        </w:tc>
        <w:tc>
          <w:tcPr>
            <w:tcW w:w="4320" w:type="dxa"/>
          </w:tcPr>
          <w:p w:rsidR="00216E97" w:rsidRDefault="00000000">
            <w:r>
              <w:t>2.300 g</w:t>
            </w:r>
          </w:p>
        </w:tc>
      </w:tr>
      <w:tr w:rsidR="00216E97">
        <w:tc>
          <w:tcPr>
            <w:tcW w:w="4320" w:type="dxa"/>
          </w:tcPr>
          <w:p w:rsidR="00216E97" w:rsidRDefault="00000000">
            <w:r>
              <w:t>Linsen</w:t>
            </w:r>
          </w:p>
        </w:tc>
        <w:tc>
          <w:tcPr>
            <w:tcW w:w="4320" w:type="dxa"/>
          </w:tcPr>
          <w:p w:rsidR="00216E97" w:rsidRDefault="00000000">
            <w:r>
              <w:t>2.100 g</w:t>
            </w:r>
          </w:p>
        </w:tc>
      </w:tr>
      <w:tr w:rsidR="00216E97">
        <w:tc>
          <w:tcPr>
            <w:tcW w:w="4320" w:type="dxa"/>
          </w:tcPr>
          <w:p w:rsidR="00216E97" w:rsidRDefault="00000000">
            <w:r>
              <w:t>Kichererbsen</w:t>
            </w:r>
          </w:p>
        </w:tc>
        <w:tc>
          <w:tcPr>
            <w:tcW w:w="4320" w:type="dxa"/>
          </w:tcPr>
          <w:p w:rsidR="00216E97" w:rsidRDefault="00000000">
            <w:r>
              <w:t>2.000 g</w:t>
            </w:r>
          </w:p>
        </w:tc>
      </w:tr>
      <w:tr w:rsidR="00216E97">
        <w:tc>
          <w:tcPr>
            <w:tcW w:w="4320" w:type="dxa"/>
          </w:tcPr>
          <w:p w:rsidR="00216E97" w:rsidRDefault="00000000">
            <w:r>
              <w:t>Bohnen</w:t>
            </w:r>
          </w:p>
        </w:tc>
        <w:tc>
          <w:tcPr>
            <w:tcW w:w="4320" w:type="dxa"/>
          </w:tcPr>
          <w:p w:rsidR="00216E97" w:rsidRDefault="00000000">
            <w:r>
              <w:t>2.060 g</w:t>
            </w:r>
          </w:p>
        </w:tc>
      </w:tr>
      <w:tr w:rsidR="00216E97">
        <w:tc>
          <w:tcPr>
            <w:tcW w:w="4320" w:type="dxa"/>
          </w:tcPr>
          <w:p w:rsidR="00216E97" w:rsidRDefault="00000000">
            <w:r>
              <w:t>Datteln</w:t>
            </w:r>
          </w:p>
        </w:tc>
        <w:tc>
          <w:tcPr>
            <w:tcW w:w="4320" w:type="dxa"/>
          </w:tcPr>
          <w:p w:rsidR="00216E97" w:rsidRDefault="00000000">
            <w:r>
              <w:t>1.800 g</w:t>
            </w:r>
          </w:p>
        </w:tc>
      </w:tr>
      <w:tr w:rsidR="00216E97">
        <w:tc>
          <w:tcPr>
            <w:tcW w:w="4320" w:type="dxa"/>
          </w:tcPr>
          <w:p w:rsidR="00216E97" w:rsidRDefault="00000000">
            <w:r>
              <w:t>Rosinen</w:t>
            </w:r>
          </w:p>
        </w:tc>
        <w:tc>
          <w:tcPr>
            <w:tcW w:w="4320" w:type="dxa"/>
          </w:tcPr>
          <w:p w:rsidR="00216E97" w:rsidRDefault="00000000">
            <w:r>
              <w:t>1.640 g</w:t>
            </w:r>
          </w:p>
        </w:tc>
      </w:tr>
      <w:tr w:rsidR="00A1006E">
        <w:tc>
          <w:tcPr>
            <w:tcW w:w="4320" w:type="dxa"/>
          </w:tcPr>
          <w:p w:rsidR="00A1006E" w:rsidRDefault="00A1006E"/>
        </w:tc>
        <w:tc>
          <w:tcPr>
            <w:tcW w:w="4320" w:type="dxa"/>
          </w:tcPr>
          <w:p w:rsidR="00A1006E" w:rsidRDefault="00A1006E"/>
        </w:tc>
      </w:tr>
    </w:tbl>
    <w:p w:rsidR="00216E97" w:rsidRPr="00A1006E" w:rsidRDefault="00000000">
      <w:pPr>
        <w:pStyle w:val="berschrift2"/>
        <w:rPr>
          <w:lang w:val="de-DE"/>
        </w:rPr>
      </w:pPr>
      <w:r w:rsidRPr="00A1006E">
        <w:rPr>
          <w:lang w:val="de-DE"/>
        </w:rPr>
        <w:lastRenderedPageBreak/>
        <w:t>Arten der Abgaben nach Festlegung von Menge und Empfängern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2"/>
        <w:gridCol w:w="8128"/>
      </w:tblGrid>
      <w:tr w:rsidR="00216E97" w:rsidTr="00A1006E">
        <w:tc>
          <w:tcPr>
            <w:tcW w:w="392" w:type="dxa"/>
          </w:tcPr>
          <w:p w:rsidR="00216E97" w:rsidRDefault="00000000">
            <w:r>
              <w:t>Nr.</w:t>
            </w:r>
          </w:p>
        </w:tc>
        <w:tc>
          <w:tcPr>
            <w:tcW w:w="8248" w:type="dxa"/>
          </w:tcPr>
          <w:p w:rsidR="00216E97" w:rsidRDefault="00000000">
            <w:r>
              <w:t>Beschreibung</w:t>
            </w:r>
          </w:p>
        </w:tc>
      </w:tr>
      <w:tr w:rsidR="00216E97" w:rsidRPr="00A1006E" w:rsidTr="00A1006E">
        <w:tc>
          <w:tcPr>
            <w:tcW w:w="392" w:type="dxa"/>
          </w:tcPr>
          <w:p w:rsidR="00216E97" w:rsidRDefault="00000000">
            <w:r>
              <w:t>1</w:t>
            </w:r>
          </w:p>
        </w:tc>
        <w:tc>
          <w:tcPr>
            <w:tcW w:w="8248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 xml:space="preserve">Was in einer vollständig festgelegten Menge gegeben wird, unabhängig vom Zahlenden und Empfänger – wie </w:t>
            </w:r>
            <w:proofErr w:type="spellStart"/>
            <w:r w:rsidRPr="00A1006E">
              <w:rPr>
                <w:lang w:val="de-DE"/>
              </w:rPr>
              <w:t>Zakāt</w:t>
            </w:r>
            <w:proofErr w:type="spellEnd"/>
            <w:r w:rsidRPr="00A1006E">
              <w:rPr>
                <w:lang w:val="de-DE"/>
              </w:rPr>
              <w:t xml:space="preserve"> al-</w:t>
            </w:r>
            <w:proofErr w:type="spellStart"/>
            <w:r w:rsidRPr="00A1006E">
              <w:rPr>
                <w:lang w:val="de-DE"/>
              </w:rPr>
              <w:t>Fiṭr</w:t>
            </w:r>
            <w:proofErr w:type="spellEnd"/>
            <w:r w:rsidRPr="00A1006E">
              <w:rPr>
                <w:lang w:val="de-DE"/>
              </w:rPr>
              <w:t>.</w:t>
            </w:r>
          </w:p>
        </w:tc>
      </w:tr>
      <w:tr w:rsidR="00216E97" w:rsidRPr="00A1006E" w:rsidTr="00A1006E">
        <w:tc>
          <w:tcPr>
            <w:tcW w:w="392" w:type="dxa"/>
          </w:tcPr>
          <w:p w:rsidR="00216E97" w:rsidRDefault="00000000">
            <w:r>
              <w:t>2</w:t>
            </w:r>
          </w:p>
        </w:tc>
        <w:tc>
          <w:tcPr>
            <w:tcW w:w="8248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>Was sowohl hinsichtlich der Menge als auch hinsichtlich der Empfänger festgelegt ist – wie eine Sühne (</w:t>
            </w:r>
            <w:proofErr w:type="spellStart"/>
            <w:r w:rsidRPr="00A1006E">
              <w:rPr>
                <w:lang w:val="de-DE"/>
              </w:rPr>
              <w:t>Kaffāra</w:t>
            </w:r>
            <w:proofErr w:type="spellEnd"/>
            <w:r w:rsidRPr="00A1006E">
              <w:rPr>
                <w:lang w:val="de-DE"/>
              </w:rPr>
              <w:t xml:space="preserve">), bei der zehn Bedürftige gespeist werden müssen (für jeden ein halber </w:t>
            </w:r>
            <w:proofErr w:type="spellStart"/>
            <w:r w:rsidRPr="00A1006E">
              <w:rPr>
                <w:lang w:val="de-DE"/>
              </w:rPr>
              <w:t>Ṣāʿ</w:t>
            </w:r>
            <w:proofErr w:type="spellEnd"/>
            <w:r w:rsidRPr="00A1006E">
              <w:rPr>
                <w:lang w:val="de-DE"/>
              </w:rPr>
              <w:t>).</w:t>
            </w:r>
          </w:p>
        </w:tc>
      </w:tr>
      <w:tr w:rsidR="00216E97" w:rsidRPr="00A1006E" w:rsidTr="00A1006E">
        <w:tc>
          <w:tcPr>
            <w:tcW w:w="392" w:type="dxa"/>
          </w:tcPr>
          <w:p w:rsidR="00216E97" w:rsidRDefault="00000000">
            <w:r>
              <w:t>3</w:t>
            </w:r>
          </w:p>
        </w:tc>
        <w:tc>
          <w:tcPr>
            <w:tcW w:w="8248" w:type="dxa"/>
          </w:tcPr>
          <w:p w:rsidR="00216E97" w:rsidRPr="00A1006E" w:rsidRDefault="00000000">
            <w:pPr>
              <w:rPr>
                <w:lang w:val="de-DE"/>
              </w:rPr>
            </w:pPr>
            <w:r w:rsidRPr="00A1006E">
              <w:rPr>
                <w:lang w:val="de-DE"/>
              </w:rPr>
              <w:t>Was hinsichtlich der Anzahl der Empfänger festgelegt ist, jedoch ohne festgelegte bestimmte Menge – wie die Sühne für einen Eid (</w:t>
            </w:r>
            <w:proofErr w:type="spellStart"/>
            <w:r w:rsidRPr="00A1006E">
              <w:rPr>
                <w:lang w:val="de-DE"/>
              </w:rPr>
              <w:t>Kaffārat</w:t>
            </w:r>
            <w:proofErr w:type="spellEnd"/>
            <w:r w:rsidRPr="00A1006E">
              <w:rPr>
                <w:lang w:val="de-DE"/>
              </w:rPr>
              <w:t xml:space="preserve"> al-</w:t>
            </w:r>
            <w:proofErr w:type="spellStart"/>
            <w:r w:rsidRPr="00A1006E">
              <w:rPr>
                <w:lang w:val="de-DE"/>
              </w:rPr>
              <w:t>Yamīn</w:t>
            </w:r>
            <w:proofErr w:type="spellEnd"/>
            <w:r w:rsidRPr="00A1006E">
              <w:rPr>
                <w:lang w:val="de-DE"/>
              </w:rPr>
              <w:t>).</w:t>
            </w:r>
          </w:p>
        </w:tc>
      </w:tr>
    </w:tbl>
    <w:p w:rsidR="00000000" w:rsidRDefault="00000000">
      <w:pPr>
        <w:rPr>
          <w:lang w:val="de-DE"/>
        </w:rPr>
      </w:pPr>
    </w:p>
    <w:p w:rsidR="00A1006E" w:rsidRPr="00A1006E" w:rsidRDefault="00A1006E">
      <w:pPr>
        <w:rPr>
          <w:lang w:val="de-DE"/>
        </w:rPr>
      </w:pPr>
      <w:hyperlink r:id="rId6" w:history="1">
        <w:r w:rsidRPr="00747896">
          <w:rPr>
            <w:rStyle w:val="Hyperlink"/>
            <w:b/>
            <w:bCs/>
            <w:color w:val="002060"/>
            <w:sz w:val="28"/>
            <w:szCs w:val="28"/>
          </w:rPr>
          <w:t>www.alsarhaan.com</w:t>
        </w:r>
      </w:hyperlink>
      <w:r w:rsidRPr="00747896">
        <w:rPr>
          <w:b/>
          <w:bCs/>
          <w:color w:val="002060"/>
          <w:sz w:val="28"/>
          <w:szCs w:val="28"/>
        </w:rPr>
        <w:t xml:space="preserve">                                    </w:t>
      </w:r>
    </w:p>
    <w:sectPr w:rsidR="00A1006E" w:rsidRPr="00A1006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2508446">
    <w:abstractNumId w:val="8"/>
  </w:num>
  <w:num w:numId="2" w16cid:durableId="105471557">
    <w:abstractNumId w:val="6"/>
  </w:num>
  <w:num w:numId="3" w16cid:durableId="1210267992">
    <w:abstractNumId w:val="5"/>
  </w:num>
  <w:num w:numId="4" w16cid:durableId="1861620572">
    <w:abstractNumId w:val="4"/>
  </w:num>
  <w:num w:numId="5" w16cid:durableId="1149326550">
    <w:abstractNumId w:val="7"/>
  </w:num>
  <w:num w:numId="6" w16cid:durableId="1805806358">
    <w:abstractNumId w:val="3"/>
  </w:num>
  <w:num w:numId="7" w16cid:durableId="1939370179">
    <w:abstractNumId w:val="2"/>
  </w:num>
  <w:num w:numId="8" w16cid:durableId="2035034066">
    <w:abstractNumId w:val="1"/>
  </w:num>
  <w:num w:numId="9" w16cid:durableId="62901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6E97"/>
    <w:rsid w:val="0029639D"/>
    <w:rsid w:val="00326F90"/>
    <w:rsid w:val="00492EC7"/>
    <w:rsid w:val="00A1006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E2636"/>
  <w14:defaultImageDpi w14:val="300"/>
  <w15:docId w15:val="{7E649128-671B-4722-BD30-15463680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A100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lsarhaan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Dr. Samy Edris</cp:lastModifiedBy>
  <cp:revision>2</cp:revision>
  <dcterms:created xsi:type="dcterms:W3CDTF">2026-03-02T16:03:00Z</dcterms:created>
  <dcterms:modified xsi:type="dcterms:W3CDTF">2026-03-02T16:03:00Z</dcterms:modified>
  <cp:category/>
</cp:coreProperties>
</file>