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276409" cy="4919866"/>
            <wp:effectExtent l="0" t="0" r="0" b="0"/>
            <wp:wrapTopAndBottom/>
            <wp:docPr id="1" name="Drawing 0" descr="image17180008975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8000897534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280910" cy="1093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ف</w:t>
      </w:r>
      <w:r>
        <w:rPr>
          <w:rFonts w:ascii="Arial" w:hAnsi="Arial" w:cs="Arial" w:eastAsia="Arial"/>
          <w:color w:val="252525"/>
          <w:sz w:val="61"/>
        </w:rPr>
        <w:t xml:space="preserve">ضل آية الكرسي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Vikten av versen (ayatul kursi)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Den som läser den (ayatul kursi) efter varje bön är det inget som hindrar honom från att träda in i paradiset förutom döden.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Det rapporteras från Abi umama må Allah  vara nöjd med honom att han sa profeten sallalahu aleyhi wasallam sa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( Den som läser ayatul kursi efter varje obligatorisk bön är det inget som hindrar honom från att träda in i paradiset förutom döden) 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702537</wp:posOffset>
            </wp:positionV>
            <wp:extent cx="3811977" cy="5063007"/>
            <wp:effectExtent l="0" t="0" r="0" b="0"/>
            <wp:wrapTopAndBottom/>
            <wp:docPr id="1" name="Drawing 0" descr="image17180008977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8000897749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471059" cy="1125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2024-06-10T06:28:16Z</dcterms:created>
  <dc:creator>Apache POI</dc:creator>
</cp:coreProperties>
</file>