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3594599</wp:posOffset>
            </wp:positionV>
            <wp:extent cx="3507439" cy="5202351"/>
            <wp:effectExtent l="0" t="0" r="0" b="0"/>
            <wp:wrapTopAndBottom/>
            <wp:docPr id="1" name="Drawing 0" descr="image17154944472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5494447252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794308" cy="1156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ا</w:t>
      </w:r>
      <w:r>
        <w:rPr>
          <w:rFonts w:ascii="Arial" w:hAnsi="Arial" w:cs="Arial" w:eastAsia="Arial"/>
          <w:color w:val="252525"/>
          <w:sz w:val="61"/>
        </w:rPr>
        <w:t>ركان الإمان ستة: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Trons (iman) sex pelare: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4558622</wp:posOffset>
            </wp:positionV>
            <wp:extent cx="3486436" cy="4693035"/>
            <wp:effectExtent l="0" t="0" r="0" b="0"/>
            <wp:wrapTopAndBottom/>
            <wp:docPr id="1" name="Drawing 0" descr="image17154944475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5494447506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747635" cy="1042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1. Att tro på Allah.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2. Och Hans änglar.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3. Och Hans böcker.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4. Och Hans sändebud.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5. Och på domedagen.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6. Och att tro på ödet det goda och det onda i det.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2024-05-12T06:14:05Z</dcterms:created>
  <dc:creator>Apache POI</dc:creator>
</cp:coreProperties>
</file>