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bidi w:val="0"/>
      </w:pPr>
      <w:r w:rsidDel="00000000" w:rsidR="00000000" w:rsidRPr="00000000">
        <w:rPr>
          <w:rFonts w:ascii="Liberation Sans" w:hAnsi="Liberation Sans" w:cs="Liberation Sans" w:eastAsia="Liberation Sans"/>
          <w:sz w:val="20"/>
          <w:szCs w:val="20"/>
        </w:rPr>
      </w:r>
    </w:p>
    <w:tbl>
      <w:tblPr>
        <w:tblStyle w:val="Table1"/>
        <w:bidiVisual w:val="1"/>
        <w:tblW w:w="103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5"/>
        <w:gridCol w:w="3440"/>
        <w:gridCol w:w="3457"/>
        <w:tblGridChange w:id="0">
          <w:tblGrid>
            <w:gridCol w:w="3455"/>
            <w:gridCol w:w="3440"/>
            <w:gridCol w:w="3457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widowControl w:val="0"/>
              <w:spacing w:after="0" w:line="240" w:lineRule="auto" w:before="0"/>
              <w:jc w:val="left"/>
              <w:rPr>
                <w:rFonts w:ascii="Lotus Linotype" w:cs="Lotus Linotype" w:eastAsia="Lotus Linotype" w:hAnsi="Lotus Linotype"/>
                <w:sz w:val="28"/>
                <w:szCs w:val="28"/>
              </w:rPr>
              <w:bidi w:val="0"/>
            </w:pP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  <w:drawing>
                <wp:inline distB="0" distT="0" distL="0" distR="0">
                  <wp:extent cx="859491" cy="773783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1121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491" cy="7737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03">
            <w:pPr>
              <w:widowControl w:val="0"/>
              <w:spacing w:after="0" w:line="240" w:lineRule="auto" w:before="0"/>
              <w:jc w:val="center"/>
              <w:rPr>
                <w:rFonts w:ascii="Lotus Linotype" w:cs="Lotus Linotype" w:eastAsia="Lotus Linotype" w:hAnsi="Lotus Linotype"/>
                <w:b w:val="1"/>
                <w:sz w:val="26"/>
                <w:szCs w:val="26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6"/>
                <w:szCs w:val="26"/>
              </w:rPr>
              <w:t xml:space="preserve">Sunan al-Fiṭrah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6"/>
                <w:szCs w:val="26"/>
                <w:u w:val="single"/>
              </w:rPr>
              <w:t xml:space="preserve"/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6"/>
                <w:szCs w:val="26"/>
              </w:rPr>
              <w:t xml:space="preserve"/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widowControl w:val="0"/>
              <w:spacing w:after="0" w:line="240" w:lineRule="auto" w:before="0"/>
              <w:jc w:val="left"/>
              <w:rPr>
                <w:rFonts w:ascii="Lotus Linotype" w:cs="Lotus Linotype" w:eastAsia="Lotus Linotype" w:hAnsi="Lotus Linotype"/>
                <w:sz w:val="28"/>
                <w:szCs w:val="28"/>
              </w:rPr>
              <w:bidi w:val="0"/>
            </w:pPr>
            <w:r w:rsidDel="00000000" w:rsidR="00000000" w:rsidRPr="00000000">
              <w:rPr>
                <w:b w:val="1"/>
                <w:rFonts w:ascii="Liberation Sans" w:hAnsi="Liberation Sans" w:cs="Liberation Sans" w:eastAsia="Liberation Sans"/>
                <w:sz w:val="20"/>
                <w:szCs w:val="20"/>
              </w:rPr>
              <w:drawing>
                <wp:inline distB="0" distT="0" distL="0" distR="0">
                  <wp:extent cx="872414" cy="723376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7152" l="0" r="266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14" cy="7233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otus Linotype" w:cs="Lotus Linotype" w:eastAsia="Lotus Linotype" w:hAnsi="Lotus Linotype"/>
                <w:sz w:val="28"/>
                <w:szCs w:val="28"/>
              </w:rPr>
              <w:bidi w:val="0"/>
            </w:pP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after="0" w:line="240" w:lineRule="auto" w:before="0"/>
              <w:jc w:val="center"/>
              <w:rPr>
                <w:rFonts w:ascii="Lotus Linotype" w:cs="Lotus Linotype" w:eastAsia="Lotus Linotype" w:hAnsi="Lotus Linotype"/>
                <w:b w:val="1"/>
                <w:sz w:val="26"/>
                <w:szCs w:val="26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2"/>
                <w:szCs w:val="22"/>
              </w:rPr>
              <w:t xml:space="preserve">Le caratteristiche della natura originaria con cui Allah ha creato gli esseri umani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otus Linotype" w:cs="Lotus Linotype" w:eastAsia="Lotus Linotype" w:hAnsi="Lotus Linotype"/>
                <w:b w:val="1"/>
                <w:sz w:val="26"/>
                <w:szCs w:val="26"/>
              </w:rPr>
              <w:bidi w:val="0"/>
            </w:pP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 w:before="0"/>
              <w:jc w:val="left"/>
              <w:rPr>
                <w:sz w:val="18"/>
                <w:szCs w:val="18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L’essere umano è naturalmente incline a queste pratiche e ne avverte il bisogno, salvo essere influenzato dalla società che lo circonda.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 w:before="0"/>
              <w:jc w:val="left"/>
              <w:rPr>
                <w:sz w:val="18"/>
                <w:szCs w:val="18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Esse sono menzionate in hadith autentici del Profeta ﷺ.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left"/>
        <w:rPr>
          <w:rFonts w:ascii="Cambria" w:cs="Cambria" w:eastAsia="Cambria" w:hAnsi="Cambria"/>
          <w:sz w:val="2"/>
          <w:szCs w:val="2"/>
        </w:rPr>
        <w:bidi w:val="0"/>
        <w:spacing w:before="0" w:after="0" w:line="240" w:lineRule="auto"/>
      </w:pPr>
      <w:r w:rsidDel="00000000" w:rsidR="00000000" w:rsidRPr="00000000">
        <w:rPr>
          <w:rFonts w:ascii="Liberation Sans" w:cs="Liberation Sans" w:eastAsia="Liberation Sans" w:hAnsi="Liberation Sans"/>
          <w:sz w:val="20"/>
          <w:szCs w:val="20"/>
        </w:rPr>
        <w:t xml:space="preserve"/>
      </w:r>
    </w:p>
    <w:tbl>
      <w:tblPr>
        <w:tblStyle w:val="Table2"/>
        <w:bidiVisual w:val="1"/>
        <w:tblW w:w="1050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54"/>
        <w:gridCol w:w="2114"/>
        <w:gridCol w:w="1987"/>
        <w:gridCol w:w="47"/>
        <w:tblGridChange w:id="0">
          <w:tblGrid>
            <w:gridCol w:w="6354"/>
            <w:gridCol w:w="2114"/>
            <w:gridCol w:w="1987"/>
            <w:gridCol w:w="47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 w:before="0"/>
              <w:ind w:left="0" w:firstLine="0"/>
              <w:jc w:val="center"/>
              <w:rPr>
                <w:rFonts w:ascii="Arabic Typesetting" w:cs="Arabic Typesetting" w:eastAsia="Arabic Typesetting" w:hAnsi="Arabic Typesetting"/>
                <w:b w:val="1"/>
                <w:sz w:val="26"/>
                <w:szCs w:val="26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0"/>
                <w:szCs w:val="20"/>
              </w:rPr>
              <w:t xml:space="preserve">Definizione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 w:before="0"/>
              <w:jc w:val="center"/>
              <w:rPr>
                <w:rFonts w:ascii="Arabic Typesetting" w:cs="Arabic Typesetting" w:eastAsia="Arabic Typesetting" w:hAnsi="Arabic Typesetting"/>
                <w:b w:val="1"/>
                <w:sz w:val="24"/>
                <w:szCs w:val="24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0"/>
                <w:szCs w:val="20"/>
              </w:rPr>
              <w:t xml:space="preserve">Norma giuridica islamica</w:t>
            </w:r>
          </w:p>
        </w:tc>
        <w:tc>
          <w:tcPr>
            <w:gridSpan w:val="2"/>
            <w:shd w:fill="dbe5f1" w:val="clea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 w:before="0"/>
              <w:jc w:val="center"/>
              <w:rPr>
                <w:rFonts w:ascii="Arabic Typesetting" w:cs="Arabic Typesetting" w:eastAsia="Arabic Typesetting" w:hAnsi="Arabic Typesetting"/>
                <w:b w:val="1"/>
                <w:sz w:val="26"/>
                <w:szCs w:val="26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20"/>
                <w:szCs w:val="20"/>
              </w:rPr>
              <w:t xml:space="preserve">Pratica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color w:val="c00000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20"/>
                <w:szCs w:val="20"/>
              </w:rPr>
              <w:t xml:space="preserve">La Sunnah consiste nell’accorciare e sfoltire i baffi, tagliandoli in modo che sia visibile il bordo del labbro superiore.</w:t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 w:before="0"/>
              <w:jc w:val="left"/>
              <w:rPr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Sunnah; è riprovevole rasarli completamente.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pStyle w:val="Heading1"/>
              <w:spacing w:before="0" w:line="240" w:lineRule="auto" w:after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[1] Accorciare i baffi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È vietato radere la barba, poiché ciò contrasta con l’ordine del Profeta ﷺ di lasciarla crescere e mantenerla folta.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Obbligatorio.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[2] Lasciar crescere la barba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color w:val="c00000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Usare un rametto di arāk o simili per pulire i denti. È Sunnah in ogni momento, particolarmente raccomandata durante il wuḍūʾ (abluzione rituale), prima della preghiera, entrando in casa o in moschea, leggendo il Corano, al risveglio, in punto di morte e quando cambia l’odore della bocca.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 fortemente raccomandata.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 w:before="0"/>
              <w:ind w:lef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>[3] Usare lo siwāk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Lavare il naso introducendo acqua nelle narici e poi espellendola.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Fa parte delle sunan del wuḍūʾ.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[4] Aspirare acqua nelle narici (istinshāq)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Tagliare le unghie, poiché lasciarle crescere favorisce l’accumulo di sporcizia al di sotto di esse.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0" w:lineRule="auto" w:before="0" w:line="24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Sunnah; non si deve rimandare oltre quaranta giorni.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[5] Tagliare le unghie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Pulire i punti in cui si accumula lo sporco, ossia le pieghe e le articolazioni delle dita.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[6] Lavare le articolazioni delle dita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Rimuovere i peli delle ascelle, mediante epilazione, rasatura o altri mezzi, per favorire la pulizia ed eliminare i cattivi odori.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20"/>
                <w:szCs w:val="20"/>
              </w:rPr>
              <w:t xml:space="preserve">Sunnah; non si deve rimandare oltre quaranta giorni.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[7] Strappare i peli delle ascelle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spacing w:after="0" w:line="240" w:lineRule="auto" w:before="0"/>
              <w:rPr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Sono i peli che crescono attorno ai genitali anteriori.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40" w:lineRule="auto" w:before="0"/>
              <w:rPr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Possono essere rimossi anche senza rasatura, per esempio con prodotti depilatori.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Sunnah; non si deve rimandare oltre quaranta giorni.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[8] Radere i peli pubici (istiḥdād)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Rimuovere ciò che fuoriesce dalle vie urinarie o dall’ano, lavando con acqua o simili il punto di uscita e la zona circostante.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color w:val="c00000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Fa parte delle norme di comportamento nell’espletare i bisogni fisiologici.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[9] Istinjāʾ: pulirsi dopo i bisogni fisiologici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 w:before="0"/>
              <w:rPr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Lavare la bocca introducendovi acqua e poi espellendola.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Fa parte delle sunan del wuḍūʾ.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[10] Sciacquare la bocca (maḍmaḍah)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be5f1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ʿĀʾishah riferì che il Messaggero di Allah ﷺ disse, nel significato: «Dieci pratiche fanno parte della fiṭrah: accorciare i baffi, lasciar crescere la barba, usare lo siwāk, aspirare acqua nelle narici, tagliare le unghie, lavare le articolazioni delle dita, strappare i peli delle ascelle, radere i peli pubici e l’intiqāṣ al-māʾ». Zakariyyā disse che Muṣʿab aveva detto: «Ho dimenticato la decima, a meno che non si tratti del risciacquo della bocca». Qutaybah aggiunse che Wakīʿ aveva detto: «Intiqāṣ al-māʾ significa istinjāʾ». Riportato da Muslim.</w:t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 w:before="0"/>
              <w:rPr>
                <w:rFonts w:ascii="Calibri" w:cs="Calibri" w:eastAsia="Calibri" w:hAnsi="Calibri"/>
                <w:b w:val="1"/>
                <w:sz w:val="20"/>
                <w:szCs w:val="20"/>
              </w:rPr>
              <w:bidi w:val="0"/>
              <w:jc w:val="left"/>
            </w:pPr>
            <w:r w:rsidDel="00000000" w:rsidR="00000000" w:rsidRPr="00000000">
              <w:rPr>
                <w:b w:val="1"/>
                <w:sz w:val="20"/>
                <w:szCs w:val="20"/>
                <w:rFonts w:ascii="Liberation Sans" w:hAnsi="Liberation Sans" w:cs="Liberation Sans" w:eastAsia="Liberation Sans"/>
              </w:rPr>
              <w:t xml:space="preserve">Consiste nel rimuovere il prepuzio che ricopre il glande, affinché non vi si accumuli sporco e sia possibile pulirsi completamente dall’urina.</w:t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 w:before="0"/>
              <w:jc w:val="left"/>
              <w:rPr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Obbligatoria per gli uomini.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 w:before="0"/>
              <w:jc w:val="left"/>
              <w:rPr>
                <w:sz w:val="20"/>
                <w:szCs w:val="20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Sunnah per le donne che ne hanno bisogno.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</w:rPr>
              <w:bidi w:val="0"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color w:val="c00000"/>
                <w:sz w:val="20"/>
                <w:szCs w:val="20"/>
              </w:rPr>
              <w:t xml:space="preserve">[11] La circoncisione</w:t>
            </w:r>
            <w:r w:rsidDel="00000000" w:rsidR="00000000" w:rsidRPr="00000000">
              <w:rPr>
                <w:b w:val="1"/>
                <w:color w:val="c00000"/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be5f1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 w:before="0"/>
              <w:jc w:val="left"/>
              <w:rPr>
                <w:rFonts w:ascii="Calibri" w:cs="Calibri" w:eastAsia="Calibri" w:hAnsi="Calibri"/>
                <w:sz w:val="20"/>
                <w:szCs w:val="20"/>
                <w:highlight w:val="black"/>
              </w:rPr>
              <w:bidi w:val="0"/>
            </w:pP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>Abū Hurayrah riferì che il Profeta ﷺ disse, nel significato: «Cinque pratiche fanno parte della fiṭrah: la circoncisione…». Questo hadith è riportato da al-Bukhārī e Muslim.</w:t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sz w:val="20"/>
                <w:szCs w:val="20"/>
                <w:rFonts w:ascii="Liberation Sans" w:hAnsi="Liberation Sans" w:cs="Liberation Sans" w:eastAsia="Liberation Sans"/>
              </w:rPr>
              <w:t xml:space="preserve"/>
            </w:r>
            <w:r w:rsidDel="00000000" w:rsidR="00000000" w:rsidRPr="00000000">
              <w:rPr>
                <w:rFonts w:ascii="Liberation Sans" w:hAnsi="Liberation Sans" w:cs="Liberation Sans" w:eastAsia="Liberation Sans"/>
                <w:sz w:val="20"/>
                <w:szCs w:val="20"/>
              </w:rPr>
            </w:r>
          </w:p>
        </w:tc>
      </w:tr>
    </w:tbl>
    <w:p w:rsidR="00000000" w:rsidDel="00000000" w:rsidP="00000000" w:rsidRDefault="00000000" w:rsidRPr="00000000" w14:paraId="00000046">
      <w:pPr>
        <w:widowControl w:val="0"/>
        <w:tabs>
          <w:tab w:val="left" w:leader="none" w:pos="6668"/>
        </w:tabs>
        <w:spacing w:after="0" w:line="240" w:lineRule="auto" w:before="0"/>
        <w:ind w:right="284"/>
        <w:jc w:val="left"/>
        <w:rPr>
          <w:rFonts w:ascii="Calibri" w:cs="Calibri" w:eastAsia="Calibri" w:hAnsi="Calibri"/>
          <w:color w:val="c00000"/>
          <w:sz w:val="20"/>
          <w:szCs w:val="20"/>
        </w:rPr>
        <w:bidi w:val="0"/>
      </w:pPr>
      <w:r w:rsidDel="00000000" w:rsidR="00000000" w:rsidRPr="00000000">
        <w:rPr>
          <w:color w:val="c00000"/>
          <w:sz w:val="18"/>
          <w:szCs w:val="18"/>
          <w:rFonts w:ascii="Liberation Sans" w:hAnsi="Liberation Sans" w:cs="Liberation Sans" w:eastAsia="Liberation Sans"/>
        </w:rPr>
        <w:t xml:space="preserve">Fonte: Fatḥ al-Muʿīn fī Taqrīb Manhaj al-Sālikīn wa Tawḍīḥ al-Fiqh fī al-Dīn, dello shaykh Haytham Sarhan, che Allah lo preservi. Prima versione, 1443 H.</w:t>
      </w:r>
      <w:r w:rsidDel="00000000" w:rsidR="00000000" w:rsidRPr="00000000">
        <w:rPr>
          <w:rFonts w:ascii="Liberation Sans" w:cs="Liberation Sans" w:eastAsia="Liberation Sans" w:hAnsi="Liberation Sans"/>
          <w:color w:val="c00000"/>
          <w:sz w:val="18"/>
          <w:szCs w:val="18"/>
        </w:rPr>
        <w:t xml:space="preserve"/>
      </w:r>
      <w:r w:rsidDel="00000000" w:rsidR="00000000" w:rsidRPr="00000000">
        <w:rPr>
          <w:rFonts w:ascii="Liberation Sans" w:cs="Liberation Sans" w:eastAsia="Liberation Sans" w:hAnsi="Liberation Sans"/>
          <w:sz w:val="18"/>
          <w:szCs w:val="18"/>
        </w:rPr>
        <w:t xml:space="preserve"/>
      </w:r>
      <w:r w:rsidDel="00000000" w:rsidR="00000000" w:rsidRPr="00000000">
        <w:rPr>
          <w:rFonts w:ascii="Liberation Sans" w:cs="Liberation Sans" w:eastAsia="Liberation Sans" w:hAnsi="Liberation Sans"/>
          <w:sz w:val="18"/>
          <w:szCs w:val="18"/>
          <w:u w:val="single"/>
        </w:rPr>
        <w:t xml:space="preserve"/>
      </w:r>
      <w:r w:rsidDel="00000000" w:rsidR="00000000" w:rsidRPr="00000000">
        <w:rPr>
          <w:sz w:val="18"/>
          <w:szCs w:val="18"/>
          <w:u w:val="single"/>
          <w:rFonts w:ascii="Liberation Sans" w:hAnsi="Liberation Sans" w:cs="Liberation Sans" w:eastAsia="Liberation Sans"/>
        </w:rPr>
        <w:t xml:space="preserve"/>
      </w:r>
      <w:r w:rsidDel="00000000" w:rsidR="00000000" w:rsidRPr="00000000">
        <w:rPr>
          <w:rFonts w:ascii="Liberation Sans" w:cs="Liberation Sans" w:eastAsia="Liberation Sans" w:hAnsi="Liberation Sans"/>
          <w:sz w:val="18"/>
          <w:szCs w:val="18"/>
          <w:u w:val="single"/>
        </w:rPr>
        <w:t xml:space="preserve"/>
      </w:r>
      <w:r w:rsidDel="00000000" w:rsidR="00000000" w:rsidRPr="00000000">
        <w:rPr>
          <w:rFonts w:ascii="Liberation Sans" w:cs="Liberation Sans" w:eastAsia="Liberation Sans" w:hAnsi="Liberation Sans"/>
          <w:sz w:val="18"/>
          <w:szCs w:val="18"/>
        </w:rPr>
        <w:t xml:space="preserve"/>
      </w:r>
      <w:r w:rsidDel="00000000" w:rsidR="00000000" w:rsidRPr="00000000">
        <w:rPr>
          <w:sz w:val="18"/>
          <w:szCs w:val="18"/>
          <w:rFonts w:ascii="Liberation Sans" w:hAnsi="Liberation Sans" w:cs="Liberation Sans" w:eastAsia="Liberation Sans"/>
        </w:rPr>
        <w:t xml:space="preserve"/>
      </w:r>
      <w:r w:rsidDel="00000000" w:rsidR="00000000" w:rsidRPr="00000000">
        <w:rPr>
          <w:rFonts w:ascii="Liberation Sans" w:cs="Liberation Sans" w:eastAsia="Liberation Sans" w:hAnsi="Liberation Sans"/>
          <w:sz w:val="18"/>
          <w:szCs w:val="18"/>
        </w:rPr>
        <w:t xml:space="preserve"/>
      </w:r>
      <w:r w:rsidDel="00000000" w:rsidR="00000000" w:rsidRPr="00000000">
        <w:rPr>
          <w:rFonts w:ascii="Liberation Sans" w:hAnsi="Liberation Sans" w:cs="Liberation Sans" w:eastAsia="Liberation Sans"/>
          <w:sz w:val="18"/>
          <w:szCs w:val="18"/>
        </w:rPr>
      </w:r>
    </w:p>
    <w:sectPr>
      <w:footerReference r:id="rId8" w:type="default"/>
      <w:pgSz w:h="16838" w:w="11906" w:orient="portrait"/>
      <w:pgMar w:bottom="992" w:top="709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Arabic Typesetting"/>
  <w:font w:name="Lotus Linotyp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c00000"/>
        <w:sz w:val="20"/>
        <w:szCs w:val="20"/>
        <w:u w:val="none"/>
        <w:shd w:fill="auto" w:val="clear"/>
        <w:vertAlign w:val="baseline"/>
        <w:rtl w:val="0"/>
      </w:rPr>
      <w:t xml:space="preserve">Sito web: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https://alsarhaan.com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lsarha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