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5040630</wp:posOffset>
            </wp:positionV>
            <wp:extent cx="3108389" cy="4744494"/>
            <wp:effectExtent l="0" t="0" r="0" b="0"/>
            <wp:wrapTopAndBottom/>
            <wp:docPr id="1" name="Drawing 0" descr="image17182475272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8247527217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6907530" cy="1054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م</w:t>
      </w:r>
      <w:r>
        <w:rPr>
          <w:rFonts w:ascii="Arial" w:hAnsi="Arial" w:cs="Arial" w:eastAsia="Arial"/>
          <w:color w:val="252525"/>
          <w:sz w:val="61"/>
        </w:rPr>
        <w:t xml:space="preserve">ن انواع الشرك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Olika typer av shirk (avguderi)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6004654</wp:posOffset>
            </wp:positionV>
            <wp:extent cx="3034880" cy="4410551"/>
            <wp:effectExtent l="0" t="0" r="0" b="0"/>
            <wp:wrapTopAndBottom/>
            <wp:docPr id="1" name="Drawing 0" descr="image17182475274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8247527437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6744177" cy="9801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Att åkalla den frånvarande oavsett om han är död eller levande.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Såsom en profet, sändebud, ängel eller någon från de rättfärdiga.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Och att be de om hjälp och stöd.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2024-06-13T02:58:45Z</dcterms:created>
  <dc:creator>Apache POI</dc:creator>
</cp:coreProperties>
</file>