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4EFBB" w14:textId="77777777" w:rsidR="00230764" w:rsidRDefault="0077758A">
      <w:pPr>
        <w:pStyle w:val="Textoindependiente"/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487538688" behindDoc="1" locked="0" layoutInCell="1" allowOverlap="1" wp14:anchorId="1F4B85ED" wp14:editId="2F5D989C">
            <wp:simplePos x="0" y="0"/>
            <wp:positionH relativeFrom="page">
              <wp:posOffset>2143</wp:posOffset>
            </wp:positionH>
            <wp:positionV relativeFrom="page">
              <wp:posOffset>0</wp:posOffset>
            </wp:positionV>
            <wp:extent cx="7552207" cy="10693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20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9D78DB" w14:textId="77777777" w:rsidR="00230764" w:rsidRDefault="00230764">
      <w:pPr>
        <w:rPr>
          <w:rFonts w:ascii="Times New Roman"/>
          <w:sz w:val="17"/>
        </w:rPr>
        <w:sectPr w:rsidR="00230764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14:paraId="79322B92" w14:textId="720B8C95" w:rsidR="00230764" w:rsidRDefault="0077758A">
      <w:pPr>
        <w:pStyle w:val="Ttulo1"/>
        <w:bidi/>
        <w:spacing w:before="64"/>
        <w:ind w:left="1635" w:right="1635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39712" behindDoc="1" locked="0" layoutInCell="1" allowOverlap="1" wp14:anchorId="34B46566" wp14:editId="560AA93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403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215" cy="1069403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3EACB" id="Rectangle 5" o:spid="_x0000_s1026" style="position:absolute;margin-left:0;margin-top:0;width:595.45pt;height:842.05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" fillcolor="#ececec" stroked="f">
                <w10:wrap anchorx="page" anchory="page"/>
              </v:rect>
            </w:pict>
          </mc:Fallback>
        </mc:AlternateContent>
      </w:r>
      <w:r>
        <w:rPr>
          <w:w w:val="70"/>
          <w:rtl/>
        </w:rPr>
        <w:t>بسم</w:t>
      </w:r>
      <w:r>
        <w:rPr>
          <w:spacing w:val="40"/>
          <w:w w:val="70"/>
          <w:rtl/>
        </w:rPr>
        <w:t xml:space="preserve"> </w:t>
      </w:r>
      <w:r>
        <w:rPr>
          <w:w w:val="70"/>
          <w:rtl/>
        </w:rPr>
        <w:t>هللا</w:t>
      </w:r>
      <w:r>
        <w:rPr>
          <w:spacing w:val="36"/>
          <w:w w:val="70"/>
          <w:rtl/>
        </w:rPr>
        <w:t xml:space="preserve"> </w:t>
      </w:r>
      <w:r>
        <w:rPr>
          <w:w w:val="70"/>
          <w:rtl/>
        </w:rPr>
        <w:t>الرحمن</w:t>
      </w:r>
      <w:r>
        <w:rPr>
          <w:spacing w:val="39"/>
          <w:w w:val="70"/>
          <w:rtl/>
        </w:rPr>
        <w:t xml:space="preserve"> </w:t>
      </w:r>
      <w:r>
        <w:rPr>
          <w:w w:val="70"/>
          <w:rtl/>
        </w:rPr>
        <w:t>الرحيم</w:t>
      </w:r>
    </w:p>
    <w:p w14:paraId="14BE71D9" w14:textId="77777777" w:rsidR="00230764" w:rsidRDefault="0077758A">
      <w:pPr>
        <w:spacing w:before="194"/>
        <w:ind w:left="1635" w:right="1635"/>
        <w:jc w:val="center"/>
        <w:rPr>
          <w:sz w:val="32"/>
        </w:rPr>
      </w:pPr>
      <w:r>
        <w:rPr>
          <w:sz w:val="32"/>
        </w:rPr>
        <w:t>En</w:t>
      </w:r>
      <w:r>
        <w:rPr>
          <w:spacing w:val="-4"/>
          <w:sz w:val="32"/>
        </w:rPr>
        <w:t xml:space="preserve"> </w:t>
      </w:r>
      <w:r>
        <w:rPr>
          <w:sz w:val="32"/>
        </w:rPr>
        <w:t>el</w:t>
      </w:r>
      <w:r>
        <w:rPr>
          <w:spacing w:val="-3"/>
          <w:sz w:val="32"/>
        </w:rPr>
        <w:t xml:space="preserve"> </w:t>
      </w:r>
      <w:r>
        <w:rPr>
          <w:sz w:val="32"/>
        </w:rPr>
        <w:t>nombre</w:t>
      </w:r>
      <w:r>
        <w:rPr>
          <w:spacing w:val="-2"/>
          <w:sz w:val="32"/>
        </w:rPr>
        <w:t xml:space="preserve"> </w:t>
      </w:r>
      <w:r>
        <w:rPr>
          <w:sz w:val="32"/>
        </w:rPr>
        <w:t>de</w:t>
      </w:r>
      <w:r>
        <w:rPr>
          <w:spacing w:val="-3"/>
          <w:sz w:val="32"/>
        </w:rPr>
        <w:t xml:space="preserve"> </w:t>
      </w:r>
      <w:r>
        <w:rPr>
          <w:sz w:val="32"/>
        </w:rPr>
        <w:t>Allah el</w:t>
      </w:r>
      <w:r>
        <w:rPr>
          <w:spacing w:val="-3"/>
          <w:sz w:val="32"/>
        </w:rPr>
        <w:t xml:space="preserve"> </w:t>
      </w:r>
      <w:r>
        <w:rPr>
          <w:sz w:val="32"/>
        </w:rPr>
        <w:t>Misericordioso</w:t>
      </w:r>
      <w:r>
        <w:rPr>
          <w:spacing w:val="-1"/>
          <w:sz w:val="32"/>
        </w:rPr>
        <w:t xml:space="preserve"> </w:t>
      </w:r>
      <w:r>
        <w:rPr>
          <w:sz w:val="32"/>
        </w:rPr>
        <w:t>el</w:t>
      </w:r>
      <w:r>
        <w:rPr>
          <w:spacing w:val="-3"/>
          <w:sz w:val="32"/>
        </w:rPr>
        <w:t xml:space="preserve"> </w:t>
      </w:r>
      <w:r>
        <w:rPr>
          <w:sz w:val="32"/>
        </w:rPr>
        <w:t>Compasivo</w:t>
      </w:r>
    </w:p>
    <w:p w14:paraId="69225916" w14:textId="77777777" w:rsidR="00230764" w:rsidRDefault="00230764">
      <w:pPr>
        <w:pStyle w:val="Textoindependiente"/>
        <w:rPr>
          <w:sz w:val="20"/>
        </w:rPr>
      </w:pPr>
    </w:p>
    <w:p w14:paraId="65C0973A" w14:textId="77777777" w:rsidR="00230764" w:rsidRDefault="00230764">
      <w:pPr>
        <w:pStyle w:val="Textoindependiente"/>
        <w:rPr>
          <w:sz w:val="20"/>
        </w:rPr>
      </w:pPr>
    </w:p>
    <w:p w14:paraId="28767E0A" w14:textId="37A1C9C3" w:rsidR="00230764" w:rsidRDefault="0077758A">
      <w:pPr>
        <w:pStyle w:val="Textoindependiente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A2D3E6" wp14:editId="2D01C2FA">
                <wp:simplePos x="0" y="0"/>
                <wp:positionH relativeFrom="page">
                  <wp:posOffset>590550</wp:posOffset>
                </wp:positionH>
                <wp:positionV relativeFrom="paragraph">
                  <wp:posOffset>156845</wp:posOffset>
                </wp:positionV>
                <wp:extent cx="6381750" cy="2628900"/>
                <wp:effectExtent l="0" t="0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54713" w14:textId="77777777" w:rsidR="00230764" w:rsidRDefault="0077758A">
                            <w:pPr>
                              <w:spacing w:before="71"/>
                              <w:ind w:left="142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497B12"/>
                                <w:sz w:val="36"/>
                              </w:rPr>
                              <w:t>Pregunta</w:t>
                            </w:r>
                          </w:p>
                          <w:p w14:paraId="46A46FA8" w14:textId="77777777" w:rsidR="00230764" w:rsidRDefault="00230764">
                            <w:pPr>
                              <w:pStyle w:val="Textoindependiente"/>
                              <w:rPr>
                                <w:sz w:val="36"/>
                              </w:rPr>
                            </w:pPr>
                          </w:p>
                          <w:p w14:paraId="2D5C4C03" w14:textId="77777777" w:rsidR="00230764" w:rsidRDefault="0077758A">
                            <w:pPr>
                              <w:spacing w:before="280"/>
                              <w:ind w:left="142" w:right="153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232323"/>
                                <w:sz w:val="32"/>
                              </w:rPr>
                              <w:t>Hice</w:t>
                            </w:r>
                            <w:r>
                              <w:rPr>
                                <w:color w:val="232323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una</w:t>
                            </w:r>
                            <w:r>
                              <w:rPr>
                                <w:color w:val="232323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investigación</w:t>
                            </w:r>
                            <w:r>
                              <w:rPr>
                                <w:color w:val="232323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sobre</w:t>
                            </w:r>
                            <w:r>
                              <w:rPr>
                                <w:color w:val="232323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el</w:t>
                            </w:r>
                            <w:r>
                              <w:rPr>
                                <w:color w:val="232323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asunto</w:t>
                            </w:r>
                            <w:r>
                              <w:rPr>
                                <w:color w:val="232323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color w:val="232323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pasar</w:t>
                            </w:r>
                            <w:r>
                              <w:rPr>
                                <w:color w:val="232323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la</w:t>
                            </w:r>
                            <w:r>
                              <w:rPr>
                                <w:color w:val="232323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mano</w:t>
                            </w:r>
                            <w:r>
                              <w:rPr>
                                <w:color w:val="232323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húmeda</w:t>
                            </w:r>
                            <w:r>
                              <w:rPr>
                                <w:color w:val="232323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sobre</w:t>
                            </w:r>
                            <w:r>
                              <w:rPr>
                                <w:color w:val="232323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los</w:t>
                            </w:r>
                            <w:r>
                              <w:rPr>
                                <w:color w:val="232323"/>
                                <w:spacing w:val="-6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calcetines al hacer la ablución menor según la licencia del viajero. Las</w:t>
                            </w:r>
                            <w:r>
                              <w:rPr>
                                <w:color w:val="232323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cuatro escuelas de jurisprudencia dicen que los calcetines de cuero deben</w:t>
                            </w:r>
                            <w:r>
                              <w:rPr>
                                <w:color w:val="232323"/>
                                <w:spacing w:val="-7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cubrir los tobillos. Pero me encontré con un libro del shéij Al-Albani en el</w:t>
                            </w:r>
                            <w:r>
                              <w:rPr>
                                <w:color w:val="232323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 xml:space="preserve">que dice que es posible limpiar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encima del zapato o el calcetín de cuero</w:t>
                            </w:r>
                            <w:r>
                              <w:rPr>
                                <w:color w:val="232323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que no cubre el tobillo; este punto de vista es contrario al consenso</w:t>
                            </w:r>
                            <w:r>
                              <w:rPr>
                                <w:color w:val="232323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general</w:t>
                            </w:r>
                            <w:r>
                              <w:rPr>
                                <w:color w:val="232323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color w:val="232323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los</w:t>
                            </w:r>
                            <w:r>
                              <w:rPr>
                                <w:color w:val="232323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eruditos.</w:t>
                            </w:r>
                            <w:r>
                              <w:rPr>
                                <w:color w:val="232323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Espero</w:t>
                            </w:r>
                            <w:r>
                              <w:rPr>
                                <w:color w:val="232323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que</w:t>
                            </w:r>
                            <w:r>
                              <w:rPr>
                                <w:color w:val="232323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usted</w:t>
                            </w:r>
                            <w:r>
                              <w:rPr>
                                <w:color w:val="232323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pueda</w:t>
                            </w:r>
                            <w:r>
                              <w:rPr>
                                <w:color w:val="232323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explicarme</w:t>
                            </w:r>
                            <w:r>
                              <w:rPr>
                                <w:color w:val="232323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este</w:t>
                            </w:r>
                            <w:r>
                              <w:rPr>
                                <w:color w:val="232323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32"/>
                              </w:rPr>
                              <w:t>asunto.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A2D3E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6.5pt;margin-top:12.35pt;width:502.5pt;height:20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">
                <v:textbox inset="0,0,0,0">
                  <w:txbxContent>
                    <w:p w14:paraId="13A54713" w14:textId="77777777" w:rsidR="00230764" w:rsidRDefault="0077758A">
                      <w:pPr>
                        <w:spacing w:before="71"/>
                        <w:ind w:left="142"/>
                        <w:rPr>
                          <w:sz w:val="36"/>
                        </w:rPr>
                      </w:pPr>
                      <w:r>
                        <w:rPr>
                          <w:color w:val="497B12"/>
                          <w:sz w:val="36"/>
                        </w:rPr>
                        <w:t>Pregunta</w:t>
                      </w:r>
                    </w:p>
                    <w:p w14:paraId="46A46FA8" w14:textId="77777777" w:rsidR="00230764" w:rsidRDefault="00230764">
                      <w:pPr>
                        <w:pStyle w:val="Textoindependiente"/>
                        <w:rPr>
                          <w:sz w:val="36"/>
                        </w:rPr>
                      </w:pPr>
                    </w:p>
                    <w:p w14:paraId="2D5C4C03" w14:textId="77777777" w:rsidR="00230764" w:rsidRDefault="0077758A">
                      <w:pPr>
                        <w:spacing w:before="280"/>
                        <w:ind w:left="142" w:right="153"/>
                        <w:rPr>
                          <w:sz w:val="32"/>
                        </w:rPr>
                      </w:pPr>
                      <w:r>
                        <w:rPr>
                          <w:color w:val="232323"/>
                          <w:sz w:val="32"/>
                        </w:rPr>
                        <w:t>Hice</w:t>
                      </w:r>
                      <w:r>
                        <w:rPr>
                          <w:color w:val="232323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una</w:t>
                      </w:r>
                      <w:r>
                        <w:rPr>
                          <w:color w:val="232323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investigación</w:t>
                      </w:r>
                      <w:r>
                        <w:rPr>
                          <w:color w:val="232323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sobre</w:t>
                      </w:r>
                      <w:r>
                        <w:rPr>
                          <w:color w:val="232323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el</w:t>
                      </w:r>
                      <w:r>
                        <w:rPr>
                          <w:color w:val="232323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asunto</w:t>
                      </w:r>
                      <w:r>
                        <w:rPr>
                          <w:color w:val="232323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de</w:t>
                      </w:r>
                      <w:r>
                        <w:rPr>
                          <w:color w:val="232323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pasar</w:t>
                      </w:r>
                      <w:r>
                        <w:rPr>
                          <w:color w:val="232323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la</w:t>
                      </w:r>
                      <w:r>
                        <w:rPr>
                          <w:color w:val="232323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mano</w:t>
                      </w:r>
                      <w:r>
                        <w:rPr>
                          <w:color w:val="232323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húmeda</w:t>
                      </w:r>
                      <w:r>
                        <w:rPr>
                          <w:color w:val="232323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sobre</w:t>
                      </w:r>
                      <w:r>
                        <w:rPr>
                          <w:color w:val="232323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los</w:t>
                      </w:r>
                      <w:r>
                        <w:rPr>
                          <w:color w:val="232323"/>
                          <w:spacing w:val="-69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calcetines al hacer la ablución menor según la licencia del viajero. Las</w:t>
                      </w:r>
                      <w:r>
                        <w:rPr>
                          <w:color w:val="232323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cuatro escuelas de jurisprudencia dicen que los calcetines de cuero deben</w:t>
                      </w:r>
                      <w:r>
                        <w:rPr>
                          <w:color w:val="232323"/>
                          <w:spacing w:val="-70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cubrir los tobillos. Pero me encontré con un libro del shéij Al-Albani en el</w:t>
                      </w:r>
                      <w:r>
                        <w:rPr>
                          <w:color w:val="232323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 xml:space="preserve">que dice que es posible limpiar </w:t>
                      </w:r>
                      <w:r>
                        <w:rPr>
                          <w:color w:val="232323"/>
                          <w:sz w:val="32"/>
                        </w:rPr>
                        <w:t>encima del zapato o el calcetín de cuero</w:t>
                      </w:r>
                      <w:r>
                        <w:rPr>
                          <w:color w:val="232323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que no cubre el tobillo; este punto de vista es contrario al consenso</w:t>
                      </w:r>
                      <w:r>
                        <w:rPr>
                          <w:color w:val="232323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general</w:t>
                      </w:r>
                      <w:r>
                        <w:rPr>
                          <w:color w:val="232323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de</w:t>
                      </w:r>
                      <w:r>
                        <w:rPr>
                          <w:color w:val="232323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los</w:t>
                      </w:r>
                      <w:r>
                        <w:rPr>
                          <w:color w:val="232323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eruditos.</w:t>
                      </w:r>
                      <w:r>
                        <w:rPr>
                          <w:color w:val="232323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Espero</w:t>
                      </w:r>
                      <w:r>
                        <w:rPr>
                          <w:color w:val="232323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que</w:t>
                      </w:r>
                      <w:r>
                        <w:rPr>
                          <w:color w:val="232323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usted</w:t>
                      </w:r>
                      <w:r>
                        <w:rPr>
                          <w:color w:val="232323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pueda</w:t>
                      </w:r>
                      <w:r>
                        <w:rPr>
                          <w:color w:val="232323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explicarme</w:t>
                      </w:r>
                      <w:r>
                        <w:rPr>
                          <w:color w:val="232323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este</w:t>
                      </w:r>
                      <w:r>
                        <w:rPr>
                          <w:color w:val="232323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color w:val="232323"/>
                          <w:sz w:val="32"/>
                        </w:rPr>
                        <w:t>asunto.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CE03AC" w14:textId="77777777" w:rsidR="00230764" w:rsidRDefault="00230764">
      <w:pPr>
        <w:pStyle w:val="Textoindependiente"/>
        <w:spacing w:before="5"/>
        <w:rPr>
          <w:sz w:val="42"/>
        </w:rPr>
      </w:pPr>
    </w:p>
    <w:p w14:paraId="4E6FC69C" w14:textId="77777777" w:rsidR="00230764" w:rsidRDefault="0077758A">
      <w:pPr>
        <w:pStyle w:val="Ttulo1"/>
        <w:ind w:left="882"/>
        <w:rPr>
          <w:rFonts w:ascii="Calibri"/>
        </w:rPr>
      </w:pPr>
      <w:r>
        <w:rPr>
          <w:rFonts w:ascii="Calibri"/>
          <w:color w:val="00AF50"/>
        </w:rPr>
        <w:t>Respuesta</w:t>
      </w:r>
    </w:p>
    <w:p w14:paraId="31232271" w14:textId="77777777" w:rsidR="00230764" w:rsidRDefault="0077758A">
      <w:pPr>
        <w:pStyle w:val="Textoindependiente"/>
        <w:spacing w:before="193"/>
        <w:ind w:left="882"/>
      </w:pPr>
      <w:r>
        <w:t>Alabado</w:t>
      </w:r>
      <w:r>
        <w:rPr>
          <w:spacing w:val="-2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Allah</w:t>
      </w:r>
    </w:p>
    <w:p w14:paraId="2BED25BD" w14:textId="77777777" w:rsidR="00230764" w:rsidRDefault="0077758A">
      <w:pPr>
        <w:pStyle w:val="Textoindependiente"/>
        <w:spacing w:before="189" w:line="259" w:lineRule="auto"/>
        <w:ind w:left="882" w:right="896"/>
      </w:pPr>
      <w:r>
        <w:t>En primer lugar, las cuatro escuelas de jur</w:t>
      </w:r>
      <w:r>
        <w:t>isprudencia sostienen que una</w:t>
      </w:r>
      <w:r>
        <w:rPr>
          <w:spacing w:val="1"/>
        </w:rPr>
        <w:t xml:space="preserve"> </w:t>
      </w:r>
      <w:r>
        <w:t>de las condiciones para pasar la mano húmeda encima de los calcetines de</w:t>
      </w:r>
      <w:r>
        <w:rPr>
          <w:spacing w:val="-61"/>
        </w:rPr>
        <w:t xml:space="preserve"> </w:t>
      </w:r>
      <w:r>
        <w:t>cuero, es que deben cubrir el área que debe lavarse en la ablución menor,</w:t>
      </w:r>
      <w:r>
        <w:rPr>
          <w:spacing w:val="1"/>
        </w:rPr>
        <w:t xml:space="preserve"> </w:t>
      </w:r>
      <w:r>
        <w:t>que son tanto los tobillos como los pies. Si no cubren los tobillos, entonces</w:t>
      </w:r>
      <w:r>
        <w:rPr>
          <w:spacing w:val="-61"/>
        </w:rPr>
        <w:t xml:space="preserve"> </w:t>
      </w:r>
      <w:r>
        <w:t>limpiar</w:t>
      </w:r>
      <w:r>
        <w:rPr>
          <w:spacing w:val="4"/>
        </w:rPr>
        <w:t xml:space="preserve"> </w:t>
      </w:r>
      <w:r>
        <w:t>encima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ellos</w:t>
      </w:r>
      <w:r>
        <w:rPr>
          <w:spacing w:val="5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es</w:t>
      </w:r>
      <w:r>
        <w:rPr>
          <w:spacing w:val="5"/>
        </w:rPr>
        <w:t xml:space="preserve"> </w:t>
      </w:r>
      <w:r>
        <w:t>válido,</w:t>
      </w:r>
      <w:r>
        <w:rPr>
          <w:spacing w:val="3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analogía</w:t>
      </w:r>
      <w:r>
        <w:rPr>
          <w:spacing w:val="3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ablución</w:t>
      </w:r>
      <w:r>
        <w:rPr>
          <w:spacing w:val="1"/>
        </w:rPr>
        <w:t xml:space="preserve"> </w:t>
      </w:r>
      <w:r>
        <w:t>menor. Y puesto que la parte del pie que está expuesta debe lavarse y la</w:t>
      </w:r>
      <w:r>
        <w:rPr>
          <w:spacing w:val="1"/>
        </w:rPr>
        <w:t xml:space="preserve"> </w:t>
      </w:r>
      <w:r>
        <w:t>que está cubierta puede ser purific</w:t>
      </w:r>
      <w:r>
        <w:t>ada con el gesto ritual de pasarle la</w:t>
      </w:r>
      <w:r>
        <w:rPr>
          <w:spacing w:val="1"/>
        </w:rPr>
        <w:t xml:space="preserve"> </w:t>
      </w:r>
      <w:r>
        <w:t>mano por encima, si el calcetín no cubre el tobillo no es posible combinar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regla</w:t>
      </w:r>
      <w:r>
        <w:rPr>
          <w:spacing w:val="-2"/>
        </w:rPr>
        <w:t xml:space="preserve"> </w:t>
      </w:r>
      <w:r>
        <w:t>original</w:t>
      </w:r>
      <w:r>
        <w:rPr>
          <w:spacing w:val="-2"/>
        </w:rPr>
        <w:t xml:space="preserve"> </w:t>
      </w:r>
      <w:r>
        <w:t>con la</w:t>
      </w:r>
      <w:r>
        <w:rPr>
          <w:spacing w:val="-2"/>
        </w:rPr>
        <w:t xml:space="preserve"> </w:t>
      </w:r>
      <w:r>
        <w:t>licencia</w:t>
      </w:r>
      <w:r>
        <w:rPr>
          <w:spacing w:val="-1"/>
        </w:rPr>
        <w:t xml:space="preserve"> </w:t>
      </w:r>
      <w:r>
        <w:t>alternativa</w:t>
      </w:r>
      <w:r>
        <w:rPr>
          <w:spacing w:val="-4"/>
        </w:rPr>
        <w:t xml:space="preserve"> </w:t>
      </w:r>
      <w:r>
        <w:t>en un</w:t>
      </w:r>
      <w:r>
        <w:rPr>
          <w:spacing w:val="-1"/>
        </w:rPr>
        <w:t xml:space="preserve"> </w:t>
      </w:r>
      <w:r>
        <w:t>mismo miembro.</w:t>
      </w:r>
    </w:p>
    <w:p w14:paraId="43CD9196" w14:textId="77777777" w:rsidR="00230764" w:rsidRDefault="0077758A">
      <w:pPr>
        <w:pStyle w:val="Textoindependiente"/>
        <w:spacing w:before="158"/>
        <w:ind w:left="882"/>
      </w:pPr>
      <w:r>
        <w:t>Consultar:</w:t>
      </w:r>
      <w:r>
        <w:rPr>
          <w:spacing w:val="-3"/>
        </w:rPr>
        <w:t xml:space="preserve"> </w:t>
      </w:r>
      <w:r>
        <w:t>Shárh</w:t>
      </w:r>
      <w:r>
        <w:rPr>
          <w:spacing w:val="-1"/>
        </w:rPr>
        <w:t xml:space="preserve"> </w:t>
      </w:r>
      <w:r>
        <w:t>Mujtásar Jalil,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Al-Jarashi</w:t>
      </w:r>
      <w:r>
        <w:rPr>
          <w:spacing w:val="-4"/>
        </w:rPr>
        <w:t xml:space="preserve"> </w:t>
      </w:r>
      <w:r>
        <w:t>(179);</w:t>
      </w:r>
      <w:r>
        <w:rPr>
          <w:spacing w:val="-3"/>
        </w:rPr>
        <w:t xml:space="preserve"> </w:t>
      </w:r>
      <w:r>
        <w:t>Háshiyat</w:t>
      </w:r>
      <w:r>
        <w:rPr>
          <w:spacing w:val="-1"/>
        </w:rPr>
        <w:t xml:space="preserve"> </w:t>
      </w:r>
      <w:r>
        <w:t>Qaliubi</w:t>
      </w:r>
      <w:r>
        <w:rPr>
          <w:spacing w:val="-2"/>
        </w:rPr>
        <w:t xml:space="preserve"> </w:t>
      </w:r>
      <w:r>
        <w:t>wa</w:t>
      </w:r>
    </w:p>
    <w:p w14:paraId="4056FDBC" w14:textId="77777777" w:rsidR="00230764" w:rsidRDefault="0077758A">
      <w:pPr>
        <w:pStyle w:val="Textoindependiente"/>
        <w:spacing w:before="26"/>
        <w:ind w:left="882"/>
      </w:pPr>
      <w:r>
        <w:t>‘Umairah</w:t>
      </w:r>
      <w:r>
        <w:rPr>
          <w:spacing w:val="-5"/>
        </w:rPr>
        <w:t xml:space="preserve"> </w:t>
      </w:r>
      <w:r>
        <w:t>(1/68);</w:t>
      </w:r>
      <w:r>
        <w:rPr>
          <w:spacing w:val="-4"/>
        </w:rPr>
        <w:t xml:space="preserve"> </w:t>
      </w:r>
      <w:r>
        <w:t>Maymu'</w:t>
      </w:r>
      <w:r>
        <w:rPr>
          <w:spacing w:val="-2"/>
        </w:rPr>
        <w:t xml:space="preserve"> </w:t>
      </w:r>
      <w:r>
        <w:t>al-Fatáwa,</w:t>
      </w:r>
      <w:r>
        <w:rPr>
          <w:spacing w:val="-3"/>
        </w:rPr>
        <w:t xml:space="preserve"> </w:t>
      </w:r>
      <w:r>
        <w:t>Al-Mawsu’ah</w:t>
      </w:r>
      <w:r>
        <w:rPr>
          <w:spacing w:val="-2"/>
        </w:rPr>
        <w:t xml:space="preserve"> </w:t>
      </w:r>
      <w:r>
        <w:t>al-Fiqhíyah</w:t>
      </w:r>
      <w:r>
        <w:rPr>
          <w:spacing w:val="-2"/>
        </w:rPr>
        <w:t xml:space="preserve"> </w:t>
      </w:r>
      <w:r>
        <w:t>(37/264).</w:t>
      </w:r>
    </w:p>
    <w:p w14:paraId="6450F1C2" w14:textId="77777777" w:rsidR="00230764" w:rsidRDefault="0077758A">
      <w:pPr>
        <w:pStyle w:val="Textoindependiente"/>
        <w:spacing w:before="189" w:line="259" w:lineRule="auto"/>
        <w:ind w:left="882" w:right="994"/>
      </w:pPr>
      <w:r>
        <w:t>En segundo lugar, no hay un consenso unánime entre los eruditos, más</w:t>
      </w:r>
      <w:r>
        <w:rPr>
          <w:spacing w:val="1"/>
        </w:rPr>
        <w:t xml:space="preserve"> </w:t>
      </w:r>
      <w:r>
        <w:t>bien hay alguna diferencia de opinión entre ellos (que Allah tenga</w:t>
      </w:r>
      <w:r>
        <w:rPr>
          <w:spacing w:val="1"/>
        </w:rPr>
        <w:t xml:space="preserve"> </w:t>
      </w:r>
      <w:r>
        <w:t>misericordia de ellos). Algunos de los eruditos consideraron permisible</w:t>
      </w:r>
      <w:r>
        <w:rPr>
          <w:spacing w:val="1"/>
        </w:rPr>
        <w:t xml:space="preserve"> </w:t>
      </w:r>
      <w:r>
        <w:t>limpiarse por encima de los calcetines de cuero aun cuando no cubran los</w:t>
      </w:r>
      <w:r>
        <w:rPr>
          <w:spacing w:val="-61"/>
        </w:rPr>
        <w:t xml:space="preserve"> </w:t>
      </w:r>
      <w:r>
        <w:t>tobillos;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fue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vista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Ibn</w:t>
      </w:r>
      <w:r>
        <w:rPr>
          <w:spacing w:val="-3"/>
        </w:rPr>
        <w:t xml:space="preserve"> </w:t>
      </w:r>
      <w:r>
        <w:t>Házm,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narró también de</w:t>
      </w:r>
      <w:r>
        <w:rPr>
          <w:spacing w:val="-2"/>
        </w:rPr>
        <w:t xml:space="preserve"> </w:t>
      </w:r>
      <w:r>
        <w:t>Al-</w:t>
      </w:r>
    </w:p>
    <w:p w14:paraId="10577EDD" w14:textId="77777777" w:rsidR="00230764" w:rsidRDefault="00230764">
      <w:pPr>
        <w:pStyle w:val="Textoindependiente"/>
        <w:rPr>
          <w:sz w:val="25"/>
        </w:rPr>
      </w:pPr>
    </w:p>
    <w:p w14:paraId="07AAA088" w14:textId="77777777" w:rsidR="00230764" w:rsidRDefault="0077758A">
      <w:pPr>
        <w:spacing w:before="56"/>
        <w:ind w:left="1"/>
        <w:jc w:val="center"/>
      </w:pPr>
      <w:r>
        <w:t>1</w:t>
      </w:r>
    </w:p>
    <w:p w14:paraId="37DD3662" w14:textId="77777777" w:rsidR="00230764" w:rsidRDefault="00230764">
      <w:pPr>
        <w:jc w:val="center"/>
        <w:sectPr w:rsidR="00230764">
          <w:pgSz w:w="11910" w:h="16840"/>
          <w:pgMar w:top="1340" w:right="820" w:bottom="280" w:left="820" w:header="720" w:footer="720" w:gutter="0"/>
          <w:pgBorders w:offsetFrom="page">
            <w:top w:val="single" w:sz="12" w:space="24" w:color="EC7C30"/>
            <w:left w:val="single" w:sz="12" w:space="24" w:color="EC7C30"/>
            <w:bottom w:val="single" w:sz="12" w:space="24" w:color="EC7C30"/>
            <w:right w:val="single" w:sz="12" w:space="24" w:color="EC7C30"/>
          </w:pgBorders>
          <w:cols w:space="720"/>
        </w:sectPr>
      </w:pPr>
    </w:p>
    <w:p w14:paraId="3C7C1130" w14:textId="45AA5786" w:rsidR="00230764" w:rsidRDefault="0077758A">
      <w:pPr>
        <w:pStyle w:val="Textoindependiente"/>
        <w:spacing w:before="20" w:line="256" w:lineRule="auto"/>
        <w:ind w:left="882" w:right="112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40224" behindDoc="1" locked="0" layoutInCell="1" allowOverlap="1" wp14:anchorId="0CA7C9DE" wp14:editId="6DC8A68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403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215" cy="1069403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6DFA9" id="Rectangle 3" o:spid="_x0000_s1026" style="position:absolute;margin-left:0;margin-top:0;width:595.45pt;height:842.05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" fillcolor="#ececec" stroked="f">
                <w10:wrap anchorx="page" anchory="page"/>
              </v:rect>
            </w:pict>
          </mc:Fallback>
        </mc:AlternateContent>
      </w:r>
      <w:r>
        <w:t>Awzá'i. Otros eruditos desaprobaron esto, tal como fue el punto de vista</w:t>
      </w:r>
      <w:r>
        <w:rPr>
          <w:spacing w:val="-6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 cuatro</w:t>
      </w:r>
      <w:r>
        <w:rPr>
          <w:spacing w:val="-1"/>
        </w:rPr>
        <w:t xml:space="preserve"> </w:t>
      </w:r>
      <w:r>
        <w:t>escuelas de</w:t>
      </w:r>
      <w:r>
        <w:rPr>
          <w:spacing w:val="-2"/>
        </w:rPr>
        <w:t xml:space="preserve"> </w:t>
      </w:r>
      <w:r>
        <w:t>jurisprudencia.</w:t>
      </w:r>
    </w:p>
    <w:p w14:paraId="7EAC3221" w14:textId="77777777" w:rsidR="00230764" w:rsidRDefault="0077758A">
      <w:pPr>
        <w:pStyle w:val="Textoindependiente"/>
        <w:spacing w:before="166" w:line="259" w:lineRule="auto"/>
        <w:ind w:left="882" w:right="891"/>
      </w:pPr>
      <w:r>
        <w:t>Dice en Al-Mugni (1/180): “No debe limpiarse excepto en</w:t>
      </w:r>
      <w:r>
        <w:t>cima de</w:t>
      </w:r>
      <w:r>
        <w:rPr>
          <w:spacing w:val="1"/>
        </w:rPr>
        <w:t xml:space="preserve"> </w:t>
      </w:r>
      <w:r>
        <w:t>calcetines de cuero o lo que fuere que tome su lugar, como los recortados,</w:t>
      </w:r>
      <w:r>
        <w:rPr>
          <w:spacing w:val="-61"/>
        </w:rPr>
        <w:t xml:space="preserve"> </w:t>
      </w:r>
      <w:r>
        <w:t>siempre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cuando</w:t>
      </w:r>
      <w:r>
        <w:rPr>
          <w:spacing w:val="5"/>
        </w:rPr>
        <w:t xml:space="preserve"> </w:t>
      </w:r>
      <w:r>
        <w:t>lleguen</w:t>
      </w:r>
      <w:r>
        <w:rPr>
          <w:spacing w:val="2"/>
        </w:rPr>
        <w:t xml:space="preserve"> </w:t>
      </w:r>
      <w:r>
        <w:t>más</w:t>
      </w:r>
      <w:r>
        <w:rPr>
          <w:spacing w:val="6"/>
        </w:rPr>
        <w:t xml:space="preserve"> </w:t>
      </w:r>
      <w:r>
        <w:t>arriba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tobillos.</w:t>
      </w:r>
      <w:r>
        <w:rPr>
          <w:spacing w:val="4"/>
        </w:rPr>
        <w:t xml:space="preserve"> </w:t>
      </w:r>
      <w:r>
        <w:t>Lo</w:t>
      </w:r>
      <w:r>
        <w:rPr>
          <w:spacing w:val="5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esto</w:t>
      </w:r>
      <w:r>
        <w:rPr>
          <w:spacing w:val="6"/>
        </w:rPr>
        <w:t xml:space="preserve"> </w:t>
      </w:r>
      <w:r>
        <w:t>significa,</w:t>
      </w:r>
      <w:r>
        <w:rPr>
          <w:spacing w:val="1"/>
        </w:rPr>
        <w:t xml:space="preserve"> </w:t>
      </w:r>
      <w:r>
        <w:t>y Dios sabe mejor, es algo que ocupe el lugar de los calcetines de cuero</w:t>
      </w:r>
      <w:r>
        <w:rPr>
          <w:spacing w:val="1"/>
        </w:rPr>
        <w:t xml:space="preserve"> </w:t>
      </w:r>
      <w:r>
        <w:t>cubriendo todo lo que debe lavarse regularmente durante la ablución</w:t>
      </w:r>
      <w:r>
        <w:rPr>
          <w:spacing w:val="1"/>
        </w:rPr>
        <w:t xml:space="preserve"> </w:t>
      </w:r>
      <w:r>
        <w:t>menor, y con lo que sea posible caminar, que sea firme. Es solamente</w:t>
      </w:r>
      <w:r>
        <w:rPr>
          <w:spacing w:val="1"/>
        </w:rPr>
        <w:t xml:space="preserve"> </w:t>
      </w:r>
      <w:r>
        <w:t>permisible pasarles la mano por encima si cubr</w:t>
      </w:r>
      <w:r>
        <w:t>en el lugar que debe ser</w:t>
      </w:r>
      <w:r>
        <w:rPr>
          <w:spacing w:val="1"/>
        </w:rPr>
        <w:t xml:space="preserve"> </w:t>
      </w:r>
      <w:r>
        <w:t>lavado en la ablución menor, y no dejan expuesto el tobillo. Este es el</w:t>
      </w:r>
      <w:r>
        <w:rPr>
          <w:spacing w:val="1"/>
        </w:rPr>
        <w:t xml:space="preserve"> </w:t>
      </w:r>
      <w:r>
        <w:t>punto de vista de Ash-Sháfi'i y Abu Zawr. Por lo tanto, si están cortados</w:t>
      </w:r>
      <w:r>
        <w:rPr>
          <w:spacing w:val="1"/>
        </w:rPr>
        <w:t xml:space="preserve"> </w:t>
      </w:r>
      <w:r>
        <w:t>más abajo del tobillo pasarles la mano por encima no reemplaza el lavado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pie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cumple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requisito</w:t>
      </w:r>
      <w:r>
        <w:rPr>
          <w:spacing w:val="-1"/>
        </w:rPr>
        <w:t xml:space="preserve"> </w:t>
      </w:r>
      <w:r>
        <w:t>necesario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tener la ablución</w:t>
      </w:r>
      <w:r>
        <w:rPr>
          <w:spacing w:val="-1"/>
        </w:rPr>
        <w:t xml:space="preserve"> </w:t>
      </w:r>
      <w:r>
        <w:t>ritual.</w:t>
      </w:r>
    </w:p>
    <w:p w14:paraId="2F0C1812" w14:textId="77777777" w:rsidR="00230764" w:rsidRDefault="0077758A">
      <w:pPr>
        <w:pStyle w:val="Textoindependiente"/>
        <w:spacing w:line="259" w:lineRule="auto"/>
        <w:ind w:left="882" w:right="1019"/>
      </w:pPr>
      <w:r>
        <w:t>Este es el punto de vista correcto narrado de Málik. Fue también narrado</w:t>
      </w:r>
      <w:r>
        <w:rPr>
          <w:spacing w:val="-61"/>
        </w:rPr>
        <w:t xml:space="preserve"> </w:t>
      </w:r>
      <w:r>
        <w:t>de él y de Al-Awzá'i que es permisible limpiarlos porque son calcetines de</w:t>
      </w:r>
      <w:r>
        <w:rPr>
          <w:spacing w:val="-61"/>
        </w:rPr>
        <w:t xml:space="preserve"> </w:t>
      </w:r>
      <w:r>
        <w:t xml:space="preserve">cuero con los cuales es posible caminar y son </w:t>
      </w:r>
      <w:r>
        <w:t>similares a la parte que</w:t>
      </w:r>
      <w:r>
        <w:rPr>
          <w:spacing w:val="1"/>
        </w:rPr>
        <w:t xml:space="preserve"> </w:t>
      </w:r>
      <w:r>
        <w:t>cubren. Pero en nuestro punto de vista si no cubren el lugar que debe ser</w:t>
      </w:r>
      <w:r>
        <w:rPr>
          <w:spacing w:val="-61"/>
        </w:rPr>
        <w:t xml:space="preserve"> </w:t>
      </w:r>
      <w:r>
        <w:t>lavado,</w:t>
      </w:r>
      <w:r>
        <w:rPr>
          <w:spacing w:val="-3"/>
        </w:rPr>
        <w:t xml:space="preserve"> </w:t>
      </w:r>
      <w:r>
        <w:t>entonces</w:t>
      </w:r>
      <w:r>
        <w:rPr>
          <w:spacing w:val="-1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más como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pantufla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sandalia”.</w:t>
      </w:r>
      <w:r>
        <w:rPr>
          <w:spacing w:val="-1"/>
        </w:rPr>
        <w:t xml:space="preserve"> </w:t>
      </w:r>
      <w:r>
        <w:t>Fin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cita.</w:t>
      </w:r>
    </w:p>
    <w:p w14:paraId="7E043C95" w14:textId="77777777" w:rsidR="00230764" w:rsidRDefault="0077758A">
      <w:pPr>
        <w:pStyle w:val="Textoindependiente"/>
        <w:spacing w:before="157" w:line="259" w:lineRule="auto"/>
        <w:ind w:left="882" w:right="864"/>
      </w:pPr>
      <w:r>
        <w:t>Ibn Házm (que Allah tenga misericordia de él) dijo: “Si los calcetines de</w:t>
      </w:r>
      <w:r>
        <w:rPr>
          <w:spacing w:val="1"/>
        </w:rPr>
        <w:t xml:space="preserve"> </w:t>
      </w:r>
      <w:r>
        <w:t>cuero están</w:t>
      </w:r>
      <w:r>
        <w:t xml:space="preserve"> cortados debajo del tobillo, entonces limpiar encima de ellos</w:t>
      </w:r>
      <w:r>
        <w:rPr>
          <w:spacing w:val="1"/>
        </w:rPr>
        <w:t xml:space="preserve"> </w:t>
      </w:r>
      <w:r>
        <w:t>es permisible. Este es el punto de vista de Al-Awzá'i. También se narró de</w:t>
      </w:r>
      <w:r>
        <w:rPr>
          <w:spacing w:val="1"/>
        </w:rPr>
        <w:t xml:space="preserve"> </w:t>
      </w:r>
      <w:r>
        <w:t>él que dijo que el peregrino durante la consagración ritual puede limpiar</w:t>
      </w:r>
      <w:r>
        <w:rPr>
          <w:spacing w:val="1"/>
        </w:rPr>
        <w:t xml:space="preserve"> </w:t>
      </w:r>
      <w:r>
        <w:t xml:space="preserve">encima de los calcetines de cuero que están </w:t>
      </w:r>
      <w:r>
        <w:t>cortados bajo el tobillo. Otros</w:t>
      </w:r>
      <w:r>
        <w:rPr>
          <w:spacing w:val="-61"/>
        </w:rPr>
        <w:t xml:space="preserve"> </w:t>
      </w:r>
      <w:r>
        <w:t>dijeron que no pueden limpiarse encima de ellos a menos que cubran el</w:t>
      </w:r>
      <w:r>
        <w:rPr>
          <w:spacing w:val="1"/>
        </w:rPr>
        <w:t xml:space="preserve"> </w:t>
      </w:r>
      <w:r>
        <w:t>tobillo. Se narró en un reporte auténtico del Mensajero de Dios (que la paz</w:t>
      </w:r>
      <w:r>
        <w:rPr>
          <w:spacing w:val="-61"/>
        </w:rPr>
        <w:t xml:space="preserve"> </w:t>
      </w:r>
      <w:r>
        <w:t>y las bendiciones de Allah sean con él) que él les dijo a las personas que</w:t>
      </w:r>
      <w:r>
        <w:rPr>
          <w:spacing w:val="1"/>
        </w:rPr>
        <w:t xml:space="preserve"> </w:t>
      </w:r>
      <w:r>
        <w:t>lim</w:t>
      </w:r>
      <w:r>
        <w:t>piaran encima de los calcetines de cuero, y que él hizo eso. Si hubiera</w:t>
      </w:r>
      <w:r>
        <w:rPr>
          <w:spacing w:val="1"/>
        </w:rPr>
        <w:t xml:space="preserve"> </w:t>
      </w:r>
      <w:r>
        <w:t>habido un límite específico, él no habría omitido mencionarlo. Entonces</w:t>
      </w:r>
      <w:r>
        <w:rPr>
          <w:spacing w:val="1"/>
        </w:rPr>
        <w:t xml:space="preserve"> </w:t>
      </w:r>
      <w:r>
        <w:t>cualquier cosa que pueda llamarse calcetín de cuero, calcetín o cualquier</w:t>
      </w:r>
      <w:r>
        <w:rPr>
          <w:spacing w:val="1"/>
        </w:rPr>
        <w:t xml:space="preserve"> </w:t>
      </w:r>
      <w:r>
        <w:t>otro calzado que cubra los pies puede limpiarse”. Fin de la cita de Al-</w:t>
      </w:r>
      <w:r>
        <w:rPr>
          <w:spacing w:val="1"/>
        </w:rPr>
        <w:t xml:space="preserve"> </w:t>
      </w:r>
      <w:r>
        <w:t>Muhalla</w:t>
      </w:r>
      <w:r>
        <w:rPr>
          <w:spacing w:val="-4"/>
        </w:rPr>
        <w:t xml:space="preserve"> </w:t>
      </w:r>
      <w:r>
        <w:t>(1/336).</w:t>
      </w:r>
    </w:p>
    <w:p w14:paraId="03951C5D" w14:textId="77777777" w:rsidR="00230764" w:rsidRDefault="0077758A">
      <w:pPr>
        <w:pStyle w:val="Textoindependiente"/>
        <w:spacing w:before="158" w:line="259" w:lineRule="auto"/>
        <w:ind w:left="882" w:right="932"/>
      </w:pPr>
      <w:r>
        <w:t>El hecho de que las cuatro escuelas de jurisprudencia estén de acuerdo en</w:t>
      </w:r>
      <w:r>
        <w:rPr>
          <w:spacing w:val="-61"/>
        </w:rPr>
        <w:t xml:space="preserve"> </w:t>
      </w:r>
      <w:r>
        <w:t>un tema no significa que haya consenso unánime sobre él, y el hecho de</w:t>
      </w:r>
      <w:r>
        <w:rPr>
          <w:spacing w:val="1"/>
        </w:rPr>
        <w:t xml:space="preserve"> </w:t>
      </w:r>
      <w:r>
        <w:t>que los califas rectam</w:t>
      </w:r>
      <w:r>
        <w:t>ente guiados estuvieran de acuerdo en un punto de</w:t>
      </w:r>
      <w:r>
        <w:rPr>
          <w:spacing w:val="1"/>
        </w:rPr>
        <w:t xml:space="preserve"> </w:t>
      </w:r>
      <w:r>
        <w:t>vista no se considera como consenso unánime tampoco. Entonces en el</w:t>
      </w:r>
      <w:r>
        <w:rPr>
          <w:spacing w:val="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cualquiera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prestigio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es aún</w:t>
      </w:r>
      <w:r>
        <w:rPr>
          <w:spacing w:val="-4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pertinente.</w:t>
      </w:r>
    </w:p>
    <w:p w14:paraId="0A6DD58F" w14:textId="77777777" w:rsidR="00230764" w:rsidRDefault="00230764">
      <w:pPr>
        <w:pStyle w:val="Textoindependiente"/>
        <w:spacing w:before="2"/>
        <w:rPr>
          <w:sz w:val="29"/>
        </w:rPr>
      </w:pPr>
    </w:p>
    <w:p w14:paraId="32A68426" w14:textId="77777777" w:rsidR="00230764" w:rsidRDefault="0077758A">
      <w:pPr>
        <w:spacing w:before="57"/>
        <w:ind w:left="1"/>
        <w:jc w:val="center"/>
      </w:pPr>
      <w:r>
        <w:t>2</w:t>
      </w:r>
    </w:p>
    <w:p w14:paraId="39287E4C" w14:textId="77777777" w:rsidR="00230764" w:rsidRDefault="00230764">
      <w:pPr>
        <w:jc w:val="center"/>
        <w:sectPr w:rsidR="00230764">
          <w:pgSz w:w="11910" w:h="16840"/>
          <w:pgMar w:top="1380" w:right="820" w:bottom="280" w:left="820" w:header="720" w:footer="720" w:gutter="0"/>
          <w:pgBorders w:offsetFrom="page">
            <w:top w:val="single" w:sz="12" w:space="24" w:color="EC7C30"/>
            <w:left w:val="single" w:sz="12" w:space="24" w:color="EC7C30"/>
            <w:bottom w:val="single" w:sz="12" w:space="24" w:color="EC7C30"/>
            <w:right w:val="single" w:sz="12" w:space="24" w:color="EC7C30"/>
          </w:pgBorders>
          <w:cols w:space="720"/>
        </w:sectPr>
      </w:pPr>
    </w:p>
    <w:p w14:paraId="6181F0F0" w14:textId="2A90DAC3" w:rsidR="00230764" w:rsidRDefault="0077758A">
      <w:pPr>
        <w:pStyle w:val="Textoindependiente"/>
        <w:spacing w:before="20" w:line="259" w:lineRule="auto"/>
        <w:ind w:left="882" w:right="89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40736" behindDoc="1" locked="0" layoutInCell="1" allowOverlap="1" wp14:anchorId="1BF7FCAD" wp14:editId="0558611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403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215" cy="1069403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76594" id="Rectangle 2" o:spid="_x0000_s1026" style="position:absolute;margin-left:0;margin-top:0;width:595.45pt;height:842.05pt;z-index:-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" fillcolor="#ececec" stroked="f">
                <w10:wrap anchorx="page" anchory="page"/>
              </v:rect>
            </w:pict>
          </mc:Fallback>
        </mc:AlternateContent>
      </w:r>
      <w:r>
        <w:t>Dice en Madkirat Usul al-Fiqh, por el shéij Muhámmad al-Amín Ibn Mujtar</w:t>
      </w:r>
      <w:r>
        <w:rPr>
          <w:spacing w:val="1"/>
        </w:rPr>
        <w:t xml:space="preserve"> </w:t>
      </w:r>
      <w:r>
        <w:t>ash-Shanqiti (que Allah tenga misericordia de él): “No se considera como</w:t>
      </w:r>
      <w:r>
        <w:rPr>
          <w:spacing w:val="1"/>
        </w:rPr>
        <w:t xml:space="preserve"> </w:t>
      </w:r>
      <w:r>
        <w:t>consenso unánime si la mayoría de los eruditos de una era dada están de</w:t>
      </w:r>
      <w:r>
        <w:rPr>
          <w:spacing w:val="1"/>
        </w:rPr>
        <w:t xml:space="preserve"> </w:t>
      </w:r>
      <w:r>
        <w:t>acuerdo en algún asunto, según la mayor</w:t>
      </w:r>
      <w:r>
        <w:t>ía de los eruditos. Ibn Yarir at-</w:t>
      </w:r>
      <w:r>
        <w:rPr>
          <w:spacing w:val="1"/>
        </w:rPr>
        <w:t xml:space="preserve"> </w:t>
      </w:r>
      <w:r>
        <w:t>Tabari y Abu Bakr ar-Rawi dijeron que uno o dos eruditos que tengan</w:t>
      </w:r>
      <w:r>
        <w:rPr>
          <w:spacing w:val="1"/>
        </w:rPr>
        <w:t xml:space="preserve"> </w:t>
      </w:r>
      <w:r>
        <w:t>puntos de vistas diferentes no mina el consenso unánime de los eruditos.</w:t>
      </w:r>
      <w:r>
        <w:rPr>
          <w:spacing w:val="1"/>
        </w:rPr>
        <w:t xml:space="preserve"> </w:t>
      </w:r>
      <w:r>
        <w:t>Áhmad (que Allah tenga misericordia de él) concordó con este punto, pero</w:t>
      </w:r>
      <w:r>
        <w:rPr>
          <w:spacing w:val="-61"/>
        </w:rPr>
        <w:t xml:space="preserve"> </w:t>
      </w:r>
      <w:r>
        <w:t>la mayor</w:t>
      </w:r>
      <w:r>
        <w:t>ía de los eruditos declararon que lo que tiene importancia es el</w:t>
      </w:r>
      <w:r>
        <w:rPr>
          <w:spacing w:val="1"/>
        </w:rPr>
        <w:t xml:space="preserve"> </w:t>
      </w:r>
      <w:r>
        <w:t>punto de vista de todos los eruditos de la comunidad, porque la</w:t>
      </w:r>
      <w:r>
        <w:rPr>
          <w:spacing w:val="1"/>
        </w:rPr>
        <w:t xml:space="preserve"> </w:t>
      </w:r>
      <w:r>
        <w:t>infalibilidad reside en la unanimidad (cuando todos están de acuerdo en</w:t>
      </w:r>
      <w:r>
        <w:rPr>
          <w:spacing w:val="1"/>
        </w:rPr>
        <w:t xml:space="preserve"> </w:t>
      </w:r>
      <w:r>
        <w:t xml:space="preserve">algo), no sólo en la mayoría simple. El argumento para </w:t>
      </w:r>
      <w:r>
        <w:t>el punto de vista</w:t>
      </w:r>
      <w:r>
        <w:rPr>
          <w:spacing w:val="1"/>
        </w:rPr>
        <w:t xml:space="preserve"> </w:t>
      </w:r>
      <w:r>
        <w:t>opuesto es que el punto de vista de la mayoría debe considerarse y el</w:t>
      </w:r>
      <w:r>
        <w:rPr>
          <w:spacing w:val="1"/>
        </w:rPr>
        <w:t xml:space="preserve"> </w:t>
      </w:r>
      <w:r>
        <w:t>punto de vista de la minoría debe pasarse por alto”. Fin de la cita de</w:t>
      </w:r>
      <w:r>
        <w:rPr>
          <w:spacing w:val="1"/>
        </w:rPr>
        <w:t xml:space="preserve"> </w:t>
      </w:r>
      <w:r>
        <w:t>Madkirat</w:t>
      </w:r>
      <w:r>
        <w:rPr>
          <w:spacing w:val="-2"/>
        </w:rPr>
        <w:t xml:space="preserve"> </w:t>
      </w:r>
      <w:r>
        <w:t>Usul</w:t>
      </w:r>
      <w:r>
        <w:rPr>
          <w:spacing w:val="-2"/>
        </w:rPr>
        <w:t xml:space="preserve"> </w:t>
      </w:r>
      <w:r>
        <w:t>al-Fiqh</w:t>
      </w:r>
      <w:r>
        <w:rPr>
          <w:spacing w:val="-3"/>
        </w:rPr>
        <w:t xml:space="preserve"> </w:t>
      </w:r>
      <w:r>
        <w:t>(1/156).</w:t>
      </w:r>
    </w:p>
    <w:p w14:paraId="51052464" w14:textId="77777777" w:rsidR="00230764" w:rsidRDefault="0077758A">
      <w:pPr>
        <w:pStyle w:val="Textoindependiente"/>
        <w:spacing w:before="156"/>
        <w:ind w:left="882"/>
      </w:pPr>
      <w:r>
        <w:t>También</w:t>
      </w:r>
      <w:r>
        <w:rPr>
          <w:spacing w:val="-2"/>
        </w:rPr>
        <w:t xml:space="preserve"> </w:t>
      </w:r>
      <w:r>
        <w:t>dice:</w:t>
      </w:r>
    </w:p>
    <w:p w14:paraId="4D51FE2C" w14:textId="77777777" w:rsidR="00230764" w:rsidRDefault="0077758A">
      <w:pPr>
        <w:pStyle w:val="Textoindependiente"/>
        <w:spacing w:before="188" w:line="259" w:lineRule="auto"/>
        <w:ind w:left="882" w:right="1120"/>
      </w:pPr>
      <w:r>
        <w:t>“El acuerdo de los cuatro califas no constituye un c</w:t>
      </w:r>
      <w:r>
        <w:t>onsenso unánime</w:t>
      </w:r>
      <w:r>
        <w:rPr>
          <w:spacing w:val="1"/>
        </w:rPr>
        <w:t xml:space="preserve"> </w:t>
      </w:r>
      <w:r>
        <w:t>según la mayoría. El punto de vista correcto es que constituye evidencia,</w:t>
      </w:r>
      <w:r>
        <w:rPr>
          <w:spacing w:val="-6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consenso,</w:t>
      </w:r>
      <w:r>
        <w:rPr>
          <w:spacing w:val="-4"/>
        </w:rPr>
        <w:t xml:space="preserve"> </w:t>
      </w:r>
      <w:r>
        <w:t>porque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consenso</w:t>
      </w:r>
      <w:r>
        <w:rPr>
          <w:spacing w:val="-3"/>
        </w:rPr>
        <w:t xml:space="preserve"> </w:t>
      </w:r>
      <w:r>
        <w:t>unánime</w:t>
      </w:r>
      <w:r>
        <w:rPr>
          <w:spacing w:val="-4"/>
        </w:rPr>
        <w:t xml:space="preserve"> </w:t>
      </w:r>
      <w:r>
        <w:t>sólo puede</w:t>
      </w:r>
      <w:r>
        <w:rPr>
          <w:spacing w:val="2"/>
        </w:rPr>
        <w:t xml:space="preserve"> </w:t>
      </w:r>
      <w:r>
        <w:t>ocurrir si</w:t>
      </w:r>
      <w:r>
        <w:rPr>
          <w:spacing w:val="-1"/>
        </w:rPr>
        <w:t xml:space="preserve"> </w:t>
      </w:r>
      <w:r>
        <w:t>todos</w:t>
      </w:r>
    </w:p>
    <w:p w14:paraId="5D90C2C3" w14:textId="77777777" w:rsidR="00230764" w:rsidRDefault="0077758A">
      <w:pPr>
        <w:pStyle w:val="Textoindependiente"/>
        <w:spacing w:line="339" w:lineRule="exact"/>
        <w:ind w:left="882"/>
      </w:pPr>
      <w:r>
        <w:t>están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acuerdo”.</w:t>
      </w:r>
    </w:p>
    <w:p w14:paraId="158C9872" w14:textId="77777777" w:rsidR="00230764" w:rsidRDefault="0077758A">
      <w:pPr>
        <w:pStyle w:val="Textoindependiente"/>
        <w:spacing w:before="189"/>
        <w:ind w:left="882"/>
      </w:pPr>
      <w:r>
        <w:t>Y</w:t>
      </w:r>
      <w:r>
        <w:rPr>
          <w:spacing w:val="-3"/>
        </w:rPr>
        <w:t xml:space="preserve"> </w:t>
      </w:r>
      <w:r>
        <w:t>Allah sabe</w:t>
      </w:r>
      <w:r>
        <w:rPr>
          <w:spacing w:val="-4"/>
        </w:rPr>
        <w:t xml:space="preserve"> </w:t>
      </w:r>
      <w:r>
        <w:t>más.</w:t>
      </w:r>
    </w:p>
    <w:p w14:paraId="4DC10C94" w14:textId="77777777" w:rsidR="00230764" w:rsidRDefault="00230764">
      <w:pPr>
        <w:pStyle w:val="Textoindependiente"/>
        <w:rPr>
          <w:sz w:val="20"/>
        </w:rPr>
      </w:pPr>
    </w:p>
    <w:p w14:paraId="020C6854" w14:textId="77777777" w:rsidR="00230764" w:rsidRDefault="00230764">
      <w:pPr>
        <w:pStyle w:val="Textoindependiente"/>
        <w:rPr>
          <w:sz w:val="20"/>
        </w:rPr>
      </w:pPr>
    </w:p>
    <w:p w14:paraId="310B1AD6" w14:textId="77777777" w:rsidR="00230764" w:rsidRDefault="00230764">
      <w:pPr>
        <w:pStyle w:val="Textoindependiente"/>
        <w:rPr>
          <w:sz w:val="20"/>
        </w:rPr>
      </w:pPr>
    </w:p>
    <w:p w14:paraId="12113FB1" w14:textId="77777777" w:rsidR="00230764" w:rsidRDefault="00230764">
      <w:pPr>
        <w:pStyle w:val="Textoindependiente"/>
        <w:rPr>
          <w:sz w:val="20"/>
        </w:rPr>
      </w:pPr>
    </w:p>
    <w:p w14:paraId="3AC51968" w14:textId="77777777" w:rsidR="00230764" w:rsidRDefault="00230764">
      <w:pPr>
        <w:pStyle w:val="Textoindependiente"/>
        <w:rPr>
          <w:sz w:val="20"/>
        </w:rPr>
      </w:pPr>
    </w:p>
    <w:p w14:paraId="366C75C9" w14:textId="77777777" w:rsidR="00230764" w:rsidRDefault="00230764">
      <w:pPr>
        <w:pStyle w:val="Textoindependiente"/>
        <w:rPr>
          <w:sz w:val="20"/>
        </w:rPr>
      </w:pPr>
    </w:p>
    <w:p w14:paraId="79EF7309" w14:textId="77777777" w:rsidR="00230764" w:rsidRDefault="00230764">
      <w:pPr>
        <w:pStyle w:val="Textoindependiente"/>
        <w:rPr>
          <w:sz w:val="20"/>
        </w:rPr>
      </w:pPr>
    </w:p>
    <w:p w14:paraId="721D2A5C" w14:textId="77777777" w:rsidR="00230764" w:rsidRDefault="00230764">
      <w:pPr>
        <w:pStyle w:val="Textoindependiente"/>
        <w:rPr>
          <w:sz w:val="20"/>
        </w:rPr>
      </w:pPr>
    </w:p>
    <w:p w14:paraId="63EF02A2" w14:textId="77777777" w:rsidR="00230764" w:rsidRDefault="00230764">
      <w:pPr>
        <w:pStyle w:val="Textoindependiente"/>
        <w:rPr>
          <w:sz w:val="20"/>
        </w:rPr>
      </w:pPr>
    </w:p>
    <w:p w14:paraId="6344DA64" w14:textId="77777777" w:rsidR="00230764" w:rsidRDefault="00230764">
      <w:pPr>
        <w:pStyle w:val="Textoindependiente"/>
        <w:rPr>
          <w:sz w:val="20"/>
        </w:rPr>
      </w:pPr>
    </w:p>
    <w:p w14:paraId="637B0A7D" w14:textId="77777777" w:rsidR="00230764" w:rsidRDefault="00230764">
      <w:pPr>
        <w:pStyle w:val="Textoindependiente"/>
        <w:rPr>
          <w:sz w:val="20"/>
        </w:rPr>
      </w:pPr>
    </w:p>
    <w:p w14:paraId="024E474A" w14:textId="77777777" w:rsidR="00230764" w:rsidRDefault="00230764">
      <w:pPr>
        <w:pStyle w:val="Textoindependiente"/>
        <w:rPr>
          <w:sz w:val="20"/>
        </w:rPr>
      </w:pPr>
    </w:p>
    <w:p w14:paraId="10118840" w14:textId="77777777" w:rsidR="00230764" w:rsidRDefault="00230764">
      <w:pPr>
        <w:pStyle w:val="Textoindependiente"/>
        <w:rPr>
          <w:sz w:val="20"/>
        </w:rPr>
      </w:pPr>
    </w:p>
    <w:p w14:paraId="0BA4B2BB" w14:textId="77777777" w:rsidR="00230764" w:rsidRDefault="00230764">
      <w:pPr>
        <w:pStyle w:val="Textoindependiente"/>
        <w:rPr>
          <w:sz w:val="20"/>
        </w:rPr>
      </w:pPr>
    </w:p>
    <w:p w14:paraId="4869723F" w14:textId="77777777" w:rsidR="00230764" w:rsidRDefault="00230764">
      <w:pPr>
        <w:pStyle w:val="Textoindependiente"/>
        <w:rPr>
          <w:sz w:val="20"/>
        </w:rPr>
      </w:pPr>
    </w:p>
    <w:p w14:paraId="1050AB37" w14:textId="77777777" w:rsidR="00230764" w:rsidRDefault="00230764">
      <w:pPr>
        <w:pStyle w:val="Textoindependiente"/>
        <w:rPr>
          <w:sz w:val="20"/>
        </w:rPr>
      </w:pPr>
    </w:p>
    <w:p w14:paraId="01C505AC" w14:textId="77777777" w:rsidR="00230764" w:rsidRDefault="00230764">
      <w:pPr>
        <w:pStyle w:val="Textoindependiente"/>
        <w:rPr>
          <w:sz w:val="20"/>
        </w:rPr>
      </w:pPr>
    </w:p>
    <w:p w14:paraId="7E773CCC" w14:textId="77777777" w:rsidR="00230764" w:rsidRDefault="00230764">
      <w:pPr>
        <w:pStyle w:val="Textoindependiente"/>
        <w:rPr>
          <w:sz w:val="20"/>
        </w:rPr>
      </w:pPr>
    </w:p>
    <w:p w14:paraId="3F64497C" w14:textId="77777777" w:rsidR="00230764" w:rsidRDefault="00230764">
      <w:pPr>
        <w:pStyle w:val="Textoindependiente"/>
        <w:rPr>
          <w:sz w:val="20"/>
        </w:rPr>
      </w:pPr>
    </w:p>
    <w:p w14:paraId="0563EFB2" w14:textId="77777777" w:rsidR="00230764" w:rsidRDefault="00230764">
      <w:pPr>
        <w:pStyle w:val="Textoindependiente"/>
        <w:rPr>
          <w:sz w:val="20"/>
        </w:rPr>
      </w:pPr>
    </w:p>
    <w:p w14:paraId="65EF2460" w14:textId="77777777" w:rsidR="00230764" w:rsidRDefault="00230764">
      <w:pPr>
        <w:pStyle w:val="Textoindependiente"/>
        <w:rPr>
          <w:sz w:val="20"/>
        </w:rPr>
      </w:pPr>
    </w:p>
    <w:p w14:paraId="2253773B" w14:textId="77777777" w:rsidR="00230764" w:rsidRDefault="00230764">
      <w:pPr>
        <w:pStyle w:val="Textoindependiente"/>
        <w:rPr>
          <w:sz w:val="20"/>
        </w:rPr>
      </w:pPr>
    </w:p>
    <w:p w14:paraId="7711CBAD" w14:textId="77777777" w:rsidR="00230764" w:rsidRDefault="00230764">
      <w:pPr>
        <w:pStyle w:val="Textoindependiente"/>
        <w:rPr>
          <w:sz w:val="20"/>
        </w:rPr>
      </w:pPr>
    </w:p>
    <w:p w14:paraId="00BFA35D" w14:textId="77777777" w:rsidR="00230764" w:rsidRDefault="00230764">
      <w:pPr>
        <w:pStyle w:val="Textoindependiente"/>
        <w:rPr>
          <w:sz w:val="20"/>
        </w:rPr>
      </w:pPr>
    </w:p>
    <w:p w14:paraId="52EACF78" w14:textId="77777777" w:rsidR="00230764" w:rsidRDefault="00230764">
      <w:pPr>
        <w:pStyle w:val="Textoindependiente"/>
        <w:rPr>
          <w:sz w:val="20"/>
        </w:rPr>
      </w:pPr>
    </w:p>
    <w:p w14:paraId="152620A4" w14:textId="77777777" w:rsidR="00230764" w:rsidRDefault="00230764">
      <w:pPr>
        <w:pStyle w:val="Textoindependiente"/>
        <w:spacing w:before="2"/>
        <w:rPr>
          <w:sz w:val="15"/>
        </w:rPr>
      </w:pPr>
    </w:p>
    <w:p w14:paraId="72BEDDAF" w14:textId="77777777" w:rsidR="00230764" w:rsidRDefault="0077758A">
      <w:pPr>
        <w:spacing w:before="56"/>
        <w:ind w:left="1"/>
        <w:jc w:val="center"/>
      </w:pPr>
      <w:r>
        <w:t>3</w:t>
      </w:r>
    </w:p>
    <w:sectPr w:rsidR="00230764">
      <w:pgSz w:w="11910" w:h="16840"/>
      <w:pgMar w:top="1380" w:right="820" w:bottom="280" w:left="820" w:header="720" w:footer="720" w:gutter="0"/>
      <w:pgBorders w:offsetFrom="page">
        <w:top w:val="single" w:sz="12" w:space="24" w:color="EC7C30"/>
        <w:left w:val="single" w:sz="12" w:space="24" w:color="EC7C30"/>
        <w:bottom w:val="single" w:sz="12" w:space="24" w:color="EC7C30"/>
        <w:right w:val="single" w:sz="12" w:space="24" w:color="EC7C3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64"/>
    <w:rsid w:val="00230764"/>
    <w:rsid w:val="0077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A06C37F"/>
  <w15:docId w15:val="{A04C9AD4-5A94-4758-B201-6127B918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42"/>
      <w:outlineLvl w:val="0"/>
    </w:pPr>
    <w:rPr>
      <w:rFonts w:ascii="Microsoft Sans Serif" w:eastAsia="Microsoft Sans Serif" w:hAnsi="Microsoft Sans Serif" w:cs="Microsoft Sans Serif"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Abu Ismael</cp:lastModifiedBy>
  <cp:revision>2</cp:revision>
  <dcterms:created xsi:type="dcterms:W3CDTF">2023-01-28T16:43:00Z</dcterms:created>
  <dcterms:modified xsi:type="dcterms:W3CDTF">2023-01-28T16:43:00Z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2023-01-28T00:00:00Z</vt:filetime>
  </property>
</Properties>
</file>