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96012</wp:posOffset>
            </wp:positionH>
            <wp:positionV relativeFrom="paragraph">
              <wp:posOffset>5040630</wp:posOffset>
            </wp:positionV>
            <wp:extent cx="3244906" cy="4691987"/>
            <wp:effectExtent l="0" t="0" r="0" b="0"/>
            <wp:wrapTopAndBottom/>
            <wp:docPr id="1" name="Drawing 0" descr="image1718333359095.png"/>
            <wp:cNvGraphicFramePr/>
            <a:graphic xmlns:a="http://schemas.openxmlformats.org/drawingml/2006/main">
              <a:graphicData uri="http://schemas.openxmlformats.org/drawingml/2006/picture">
                <pic:pic xmlns:pic="http://schemas.openxmlformats.org/drawingml/2006/picture">
                  <pic:nvPicPr>
                    <pic:cNvPr id="2" name="Picture 2" descr="image1718333359095.png"/>
                    <pic:cNvPicPr>
                      <a:picLocks noChangeAspect="true"/>
                    </pic:cNvPicPr>
                  </pic:nvPicPr>
                  <pic:blipFill>
                    <a:blip r:embed="rId2"/>
                    <a:stretch>
                      <a:fillRect/>
                    </a:stretch>
                  </pic:blipFill>
                  <pic:spPr>
                    <a:xfrm>
                      <a:off x="0" y="0"/>
                      <a:ext cx="7210902" cy="10426639"/>
                    </a:xfrm>
                    <a:prstGeom prst="rect">
                      <a:avLst/>
                    </a:prstGeom>
                  </pic:spPr>
                </pic:pic>
              </a:graphicData>
            </a:graphic>
          </wp:anchor>
        </w:drawing>
      </w:r>
    </w:p>
    <w:p>
      <w:pPr>
        <w:spacing w:line="240" w:lineRule="auto" w:after="0" w:before="0"/>
        <w:ind w:right="0" w:left="0"/>
      </w:pPr>
      <w:r>
        <w:rPr>
          <w:rFonts w:ascii="Arial" w:hAnsi="Arial" w:cs="Arial" w:eastAsia="Arial"/>
          <w:color w:val="252525"/>
          <w:sz w:val="61"/>
        </w:rPr>
        <w:t>ا</w:t>
      </w:r>
      <w:r>
        <w:rPr>
          <w:rFonts w:ascii="Arial" w:hAnsi="Arial" w:cs="Arial" w:eastAsia="Arial"/>
          <w:color w:val="252525"/>
          <w:sz w:val="61"/>
        </w:rPr>
        <w:t>لاستخارة:</w:t>
      </w:r>
    </w:p>
    <w:p>
      <w:pPr>
        <w:spacing w:line="240" w:lineRule="auto" w:after="0" w:before="0"/>
        <w:ind w:right="0" w:left="0"/>
      </w:pPr>
      <w:r>
        <w:rPr>
          <w:rFonts w:ascii="Arial" w:hAnsi="Arial" w:cs="Arial" w:eastAsia="Arial"/>
          <w:color w:val="252525"/>
          <w:sz w:val="61"/>
        </w:rPr>
        <w:t>Istikhara bönen:</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https://Mahadsunnah.com</w:t>
      </w:r>
    </w:p>
    <w:p>
      <w:pPr>
        <w:spacing w:line="240" w:lineRule="auto" w:after="0" w:before="0"/>
        <w:ind w:right="0" w:left="0"/>
      </w:pPr>
      <w:r>
        <w:rPr>
          <w:rFonts w:ascii="Arial" w:hAnsi="Arial" w:cs="Arial" w:eastAsia="Arial"/>
          <w:color w:val="252525"/>
          <w:sz w:val="61"/>
        </w:rPr>
        <w:t>https://Sarhaan.com</w:t>
      </w:r>
    </w:p>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Det är att fråga Allah när man ska ta viktiga beslut och man själv inte vet vad som är bäst för en.</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Det som däremot är givet och man känner till det goda från det onda såsom dyrkan och goda handlingar eller synder och onda handlingar. Inom detta är det inte tillåtet att göra istikhara.</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Och visdomen bakom Istikhara är att underkasta sig Allah.</w:t>
      </w:r>
    </w:p>
    <w:p>
      <w:pPr>
        <w:spacing w:line="240" w:lineRule="auto" w:after="0" w:before="0"/>
        <w:ind w:right="0" w:left="0"/>
      </w:pPr>
      <w:r>
        <w:rPr>
          <w:rFonts w:ascii="Arial" w:hAnsi="Arial" w:cs="Arial" w:eastAsia="Arial"/>
          <w:color w:val="252525"/>
          <w:sz w:val="61"/>
        </w:rPr>
        <w:t>Och vända sig till honom.</w:t>
      </w:r>
    </w:p>
    <w:p>
      <w:pPr>
        <w:spacing w:line="240" w:lineRule="auto" w:after="0" w:before="0"/>
        <w:ind w:right="0" w:left="0"/>
      </w:pPr>
      <w:r>
        <w:rPr>
          <w:rFonts w:ascii="Arial" w:hAnsi="Arial" w:cs="Arial" w:eastAsia="Arial"/>
          <w:color w:val="252525"/>
          <w:sz w:val="61"/>
        </w:rPr>
        <w:t xml:space="preserve">Så man kombinerar det goda i detta liv och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det kommande livet.</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Och det finns ingenting som har mer påverkan än bönen och åkallan.</w:t>
      </w:r>
    </w:p>
    <w:p>
      <w:pPr>
        <w:spacing w:line="240" w:lineRule="auto" w:after="0" w:before="0"/>
        <w:ind w:right="0" w:left="0"/>
      </w:pPr>
      <w:r>
        <w:rPr>
          <w:rFonts w:ascii="Arial" w:hAnsi="Arial" w:cs="Arial" w:eastAsia="Arial"/>
          <w:color w:val="252525"/>
          <w:sz w:val="61"/>
        </w:rPr>
        <w:t>Då det finns i dessa att upphöja Allah och att prisa honom och visa sitt behov till Honom.</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Vad gäller hur Istikhara bönen utförs.</w:t>
      </w:r>
    </w:p>
    <w:p>
      <w:pPr>
        <w:spacing w:line="240" w:lineRule="auto" w:after="0" w:before="0"/>
        <w:ind w:right="0" w:left="0"/>
      </w:pPr>
      <w:r>
        <w:rPr>
          <w:rFonts w:ascii="Arial" w:hAnsi="Arial" w:cs="Arial" w:eastAsia="Arial"/>
          <w:color w:val="252525"/>
          <w:sz w:val="61"/>
        </w:rPr>
        <w:t xml:space="preserve">Det har rapporterats från jabir ibn Abdul-Allah må Allah vara nöjd med honom. Att han sade. Profeten sallalahu aleyhi wasallam brukade lära oss Istikhara bönen i våra saker såsom han brukade lära oss ett kapitel från koranen.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Brukade lära oss att rådfråga Allah (Istikhara) i alla angelägenheter så som han lärde oss ett kapitel från koranen. </w:t>
      </w:r>
    </w:p>
    <w:p>
      <w:pPr>
        <w:spacing w:line="240" w:lineRule="auto" w:after="0" w:before="0"/>
        <w:ind w:right="0" w:left="0"/>
      </w:pPr>
      <w:r>
        <w:rPr>
          <w:rFonts w:ascii="Arial" w:hAnsi="Arial" w:cs="Arial" w:eastAsia="Arial"/>
          <w:color w:val="252525"/>
          <w:sz w:val="61"/>
        </w:rPr>
        <w:t xml:space="preserve">Hand sade: </w:t>
      </w:r>
    </w:p>
    <w:p>
      <w:pPr>
        <w:spacing w:line="240" w:lineRule="auto" w:after="0" w:before="0"/>
        <w:ind w:right="0" w:left="0"/>
      </w:pPr>
      <w:r>
        <w:rPr>
          <w:rFonts w:ascii="Arial" w:hAnsi="Arial" w:cs="Arial" w:eastAsia="Arial"/>
          <w:color w:val="252525"/>
          <w:sz w:val="61"/>
        </w:rPr>
        <w:t xml:space="preserve">"Om någon av er planerar att göra något så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skall han be två rakah utöver de obligatoriska bönerna och sedan säga: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Allah jag rådfrågar Dig vid Din kunskap och jag söker förmåga vid Din förmåga och jag ber om Din vidsträckta nåd; för sannerligen förmår Du och jag förmår inte och Du vet och jag vet inte och Du är den som har kunskap om det dolda. Allah! Om Du vet att denna sak - nämn saken- är bättre för mig i min religion, mitt liv och min slutdestination så föreskriv den för mig, underlätta den för mig och välsigna mig i det. Och om Du vet att denna sak är dålig för mig i min religion, mitt liv och min slutdestination så håll den borta från mig och håll mig borta från den och skriv för mig det goda var det än är och gör mig sedan nöjd med det"</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Den som ber Istikhara bönen bör inte vara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stressad med att få sin bön besvarad. Och det är tillåtet för honom att upprepa Istikhara bönen och åkallan.</w:t>
      </w:r>
    </w:p>
    <w:p>
      <w:pPr>
        <w:spacing w:line="240" w:lineRule="auto" w:after="0" w:before="0"/>
        <w:ind w:right="0" w:left="0"/>
      </w:pPr>
      <w:r>
        <w:rPr>
          <w:rFonts w:ascii="Arial" w:hAnsi="Arial" w:cs="Arial" w:eastAsia="Arial"/>
          <w:color w:val="252525"/>
          <w:sz w:val="61"/>
        </w:rPr>
        <w:t xml:space="preserve">Och från tecken av att Istikhara bönen har blivit accepterad är att man känner ett lugn i hjärtat och att saken man frågat om når dig enkelt.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Och det finns inte något villkor såsom att man måste se en dröm efter Istikhara bönen.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Däremot tecken för en ickebesvarad Istikhara bön är att människan hindras från det han har frågat om och det underlättas inte för honom. Så hans hjärta fästs inte vid den saken efter att han hindrats från det.</w:t>
      </w:r>
    </w:p>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96012</wp:posOffset>
            </wp:positionH>
            <wp:positionV relativeFrom="paragraph">
              <wp:posOffset>702537</wp:posOffset>
            </wp:positionV>
            <wp:extent cx="2992874" cy="5125692"/>
            <wp:effectExtent l="0" t="0" r="0" b="0"/>
            <wp:wrapTopAndBottom/>
            <wp:docPr id="1" name="Drawing 0" descr="image1718333359424.png"/>
            <wp:cNvGraphicFramePr/>
            <a:graphic xmlns:a="http://schemas.openxmlformats.org/drawingml/2006/main">
              <a:graphicData uri="http://schemas.openxmlformats.org/drawingml/2006/picture">
                <pic:pic xmlns:pic="http://schemas.openxmlformats.org/drawingml/2006/picture">
                  <pic:nvPicPr>
                    <pic:cNvPr id="3" name="Picture 3" descr="image1718333359424.png"/>
                    <pic:cNvPicPr>
                      <a:picLocks noChangeAspect="true"/>
                    </pic:cNvPicPr>
                  </pic:nvPicPr>
                  <pic:blipFill>
                    <a:blip r:embed="rId3"/>
                    <a:stretch>
                      <a:fillRect/>
                    </a:stretch>
                  </pic:blipFill>
                  <pic:spPr>
                    <a:xfrm>
                      <a:off x="0" y="0"/>
                      <a:ext cx="6650831" cy="11390426"/>
                    </a:xfrm>
                    <a:prstGeom prst="rect">
                      <a:avLst/>
                    </a:prstGeom>
                  </pic:spPr>
                </pic:pic>
              </a:graphicData>
            </a:graphic>
          </wp:anchor>
        </w:drawing>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image2.png"/><Relationship Id="rId3" Type="http://schemas.openxmlformats.org/officeDocument/2006/relationships/image" Target="media/image3.p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2024-06-14T02:49:17Z</dcterms:created>
  <dc:creator>Apache POI</dc:creator>
</cp:coreProperties>
</file>