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4076609</wp:posOffset>
            </wp:positionV>
            <wp:extent cx="3286911" cy="5045342"/>
            <wp:effectExtent l="0" t="0" r="0" b="0"/>
            <wp:wrapTopAndBottom/>
            <wp:docPr id="1" name="Drawing 0" descr="image171807572187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18075721874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304246" cy="11211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م</w:t>
      </w:r>
      <w:r>
        <w:rPr>
          <w:rFonts w:ascii="Arial" w:hAnsi="Arial" w:cs="Arial" w:eastAsia="Arial"/>
          <w:color w:val="252525"/>
          <w:sz w:val="61"/>
        </w:rPr>
        <w:t>ا لا يسع المسلم جهله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Det muslimen inte får vara okunnig om.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https://Mahadsunnah.com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https://Sarhaan.com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Söka kunskap är i olika grader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Det högsta och mest obligatoriskt är att muslimen lär sig det han inte får vara okunnig om inom sin religion.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Alltså de saker som är nödvändigt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för muslimerna att veta och ha kunskap om.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Genom denna kunskap känner han till sin troslära (aqida) Och kan utföra obligatoriska dyrkan. 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Samt förbättras hans karaktär och beteende. Och hans transaktioner blir giltiga.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Det muslimen inte får vara okunnig om.</w:t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1666555</wp:posOffset>
            </wp:positionV>
            <wp:extent cx="3570446" cy="5096290"/>
            <wp:effectExtent l="0" t="0" r="0" b="0"/>
            <wp:wrapTopAndBottom/>
            <wp:docPr id="1" name="Drawing 0" descr="image17180757221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718075722110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934325" cy="11325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2024-06-11T03:15:20Z</dcterms:created>
  <dc:creator>Apache POI</dc:creator>
</cp:coreProperties>
</file>